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88B7" w14:textId="181C01A1" w:rsidR="00804919" w:rsidRDefault="00804919" w:rsidP="00804919">
      <w:pPr>
        <w:ind w:left="5523" w:firstLine="0"/>
      </w:pPr>
      <w:r>
        <w:t xml:space="preserve">Утвержден </w:t>
      </w:r>
    </w:p>
    <w:p w14:paraId="1D50AD93" w14:textId="77777777" w:rsidR="00804919" w:rsidRDefault="00804919" w:rsidP="00804919">
      <w:pPr>
        <w:ind w:left="4956"/>
      </w:pPr>
      <w:r>
        <w:t>Решением Совета директоров</w:t>
      </w:r>
    </w:p>
    <w:p w14:paraId="3B1F92C1" w14:textId="3F736EC5" w:rsidR="00804919" w:rsidRDefault="00804919" w:rsidP="00804919">
      <w:pPr>
        <w:ind w:left="4956"/>
      </w:pPr>
      <w:r>
        <w:t>НАУФОР «</w:t>
      </w:r>
      <w:r w:rsidR="0040260A">
        <w:rPr>
          <w:lang w:val="en-US"/>
        </w:rPr>
        <w:t>08</w:t>
      </w:r>
      <w:r>
        <w:t>»</w:t>
      </w:r>
      <w:r w:rsidR="00B52031">
        <w:t xml:space="preserve"> </w:t>
      </w:r>
      <w:r w:rsidR="0040260A">
        <w:t xml:space="preserve">августа </w:t>
      </w:r>
      <w:r>
        <w:t>2023 года</w:t>
      </w:r>
    </w:p>
    <w:p w14:paraId="454DD25A" w14:textId="77777777" w:rsidR="00804919" w:rsidRDefault="00804919" w:rsidP="00804919"/>
    <w:p w14:paraId="558B912C" w14:textId="77777777" w:rsidR="00804919" w:rsidRDefault="00804919" w:rsidP="00804919"/>
    <w:p w14:paraId="664D33F3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Внутренний стандарт</w:t>
      </w:r>
    </w:p>
    <w:p w14:paraId="48AF0139" w14:textId="46FB43E3" w:rsidR="00804919" w:rsidRPr="00804919" w:rsidRDefault="006A49E6" w:rsidP="00804919">
      <w:pPr>
        <w:jc w:val="center"/>
        <w:rPr>
          <w:b/>
          <w:bCs/>
        </w:rPr>
      </w:pPr>
      <w:r w:rsidRPr="006A49E6">
        <w:rPr>
          <w:b/>
          <w:bCs/>
        </w:rPr>
        <w:t>«Регистрация регистраторами выпусков (дополнительных выпусков) акций»</w:t>
      </w:r>
    </w:p>
    <w:p w14:paraId="2A82ECC8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Саморегулируемой организации</w:t>
      </w:r>
    </w:p>
    <w:p w14:paraId="7BC27803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Национальная ассоциация участников фондового рынка</w:t>
      </w:r>
    </w:p>
    <w:p w14:paraId="45BDD48F" w14:textId="3ACEF1DB" w:rsidR="002158E1" w:rsidRDefault="002158E1" w:rsidP="006E7341"/>
    <w:p w14:paraId="118DC2AE" w14:textId="24AD3314" w:rsidR="007A77DF" w:rsidRDefault="007A77DF" w:rsidP="001936AA"/>
    <w:p w14:paraId="0FE47129" w14:textId="77777777" w:rsidR="006A49E6" w:rsidRDefault="006A49E6" w:rsidP="006A49E6">
      <w:pPr>
        <w:pStyle w:val="a2"/>
        <w:keepNext/>
        <w:spacing w:line="360" w:lineRule="auto"/>
        <w:ind w:firstLine="567"/>
        <w:jc w:val="center"/>
        <w:outlineLvl w:val="0"/>
      </w:pPr>
      <w:r>
        <w:t>Общие положения</w:t>
      </w:r>
    </w:p>
    <w:p w14:paraId="49D5E166" w14:textId="77777777" w:rsidR="006A49E6" w:rsidRPr="00A73734" w:rsidRDefault="006A49E6" w:rsidP="006A49E6">
      <w:pPr>
        <w:pStyle w:val="2"/>
      </w:pPr>
      <w:r w:rsidRPr="00A73734">
        <w:t>Настоящий Внутренний стандарт «</w:t>
      </w:r>
      <w:r w:rsidRPr="006A49E6">
        <w:t>Регистрация</w:t>
      </w:r>
      <w:r w:rsidRPr="00A73734">
        <w:t xml:space="preserve"> регистраторами выпусков (дополнительных выпусков) акций» (далее – Внутренний стандарт) устанавливает требования к организациям – членам </w:t>
      </w:r>
      <w:r>
        <w:t>НАУФОР</w:t>
      </w:r>
      <w:r w:rsidRPr="00A73734">
        <w:t>, осуществляющим деятельность по ведению реестра владельцев ценных бумаг.</w:t>
      </w:r>
    </w:p>
    <w:p w14:paraId="2D34E60A" w14:textId="77777777" w:rsidR="006A49E6" w:rsidRPr="00A73734" w:rsidRDefault="006A49E6" w:rsidP="006A49E6">
      <w:pPr>
        <w:pStyle w:val="2"/>
      </w:pPr>
      <w:r w:rsidRPr="00A73734">
        <w:t xml:space="preserve">Внутренний стандарт </w:t>
      </w:r>
      <w:r w:rsidRPr="006A49E6">
        <w:t>подлежит</w:t>
      </w:r>
      <w:r w:rsidRPr="00A73734">
        <w:t xml:space="preserve"> изменению при изменении требований законодательства и нормативных актов Банка России, Базовых стандартов</w:t>
      </w:r>
      <w:r w:rsidRPr="00A73734">
        <w:rPr>
          <w:rStyle w:val="aff3"/>
        </w:rPr>
        <w:footnoteReference w:id="1"/>
      </w:r>
      <w:r w:rsidRPr="00A73734">
        <w:t>, регулирующих сферу действия Внутреннего стандарта.</w:t>
      </w:r>
    </w:p>
    <w:p w14:paraId="6169DB42" w14:textId="77777777" w:rsidR="006A49E6" w:rsidRPr="006A49E6" w:rsidRDefault="006A49E6" w:rsidP="006A49E6">
      <w:pPr>
        <w:pStyle w:val="2"/>
      </w:pPr>
      <w:r w:rsidRPr="006A49E6">
        <w:t>До момента внесения соответствующих изменений Внутренний стандарт действует в части, не противоречащей действующему на дату применения Внутреннего стандарта законодательству, нормативным актам Банка России и Базовым стандартам.</w:t>
      </w:r>
    </w:p>
    <w:p w14:paraId="350D53B6" w14:textId="77777777" w:rsidR="006A49E6" w:rsidRPr="006A49E6" w:rsidRDefault="006A49E6" w:rsidP="006A49E6">
      <w:pPr>
        <w:pStyle w:val="2"/>
      </w:pPr>
      <w:r w:rsidRPr="006A49E6">
        <w:t>Внутренний стандарт является обязательным для применения всеми членами НАУФОР, осуществляющими деятельность по ведению реестра владельцев ценных бумаг, и распространяется на регистрацию регистраторами выпусков (дополнительных выпусков) акций непубличных акционерных обществ.</w:t>
      </w:r>
    </w:p>
    <w:p w14:paraId="5B5133B3" w14:textId="77777777" w:rsidR="006A49E6" w:rsidRPr="006A49E6" w:rsidRDefault="006A49E6" w:rsidP="006A49E6">
      <w:pPr>
        <w:pStyle w:val="2"/>
      </w:pPr>
      <w:r w:rsidRPr="006A49E6">
        <w:t>Внутренний стандарт вступает в силу с даты его утверждения.</w:t>
      </w:r>
    </w:p>
    <w:p w14:paraId="553937E9" w14:textId="77777777" w:rsidR="006A49E6" w:rsidRPr="00A73734" w:rsidRDefault="006A49E6" w:rsidP="006A49E6">
      <w:pPr>
        <w:pStyle w:val="a2"/>
        <w:widowControl w:val="0"/>
        <w:ind w:firstLine="567"/>
        <w:jc w:val="center"/>
      </w:pPr>
      <w:bookmarkStart w:id="0" w:name="_Hlk33092247"/>
      <w:r w:rsidRPr="00A73734">
        <w:t>Термины и определения</w:t>
      </w:r>
    </w:p>
    <w:bookmarkEnd w:id="0"/>
    <w:p w14:paraId="0F22D657" w14:textId="77777777" w:rsidR="006A49E6" w:rsidRPr="00A73734" w:rsidRDefault="006A49E6" w:rsidP="006A49E6">
      <w:pPr>
        <w:rPr>
          <w:b/>
        </w:rPr>
      </w:pPr>
      <w:r w:rsidRPr="006A49E6">
        <w:rPr>
          <w:b/>
          <w:bCs/>
        </w:rPr>
        <w:t>Внутренний документ</w:t>
      </w:r>
      <w:r w:rsidRPr="00A73734">
        <w:t xml:space="preserve"> – внутренний документ (документы) Регистратора, устанавливающий (устанавливающие) порядок регистрации выпусков (дополнительных выпусков) акций.</w:t>
      </w:r>
    </w:p>
    <w:p w14:paraId="46858246" w14:textId="77777777" w:rsidR="006A49E6" w:rsidRPr="00A73734" w:rsidRDefault="006A49E6" w:rsidP="006A49E6">
      <w:pPr>
        <w:rPr>
          <w:b/>
        </w:rPr>
      </w:pPr>
      <w:r w:rsidRPr="006A49E6">
        <w:rPr>
          <w:b/>
          <w:bCs/>
        </w:rPr>
        <w:lastRenderedPageBreak/>
        <w:t>Договор</w:t>
      </w:r>
      <w:r w:rsidRPr="00A73734">
        <w:t xml:space="preserve"> – договор, на основании которого осуществляется регистрация выпуска (дополнительного выпуска) акций.</w:t>
      </w:r>
    </w:p>
    <w:p w14:paraId="0AE399E4" w14:textId="77777777" w:rsidR="006A49E6" w:rsidRPr="00A73734" w:rsidRDefault="006A49E6" w:rsidP="006A49E6">
      <w:r w:rsidRPr="00A73734">
        <w:rPr>
          <w:b/>
          <w:bCs/>
        </w:rPr>
        <w:t xml:space="preserve">Регистратор – </w:t>
      </w:r>
      <w:r w:rsidRPr="00A73734">
        <w:t xml:space="preserve">член </w:t>
      </w:r>
      <w:r>
        <w:t>НАУФОР</w:t>
      </w:r>
      <w:r w:rsidRPr="00A73734">
        <w:t xml:space="preserve"> -</w:t>
      </w:r>
      <w:r w:rsidRPr="00A73734">
        <w:rPr>
          <w:b/>
          <w:bCs/>
        </w:rPr>
        <w:t xml:space="preserve"> </w:t>
      </w:r>
      <w:r w:rsidRPr="00A73734">
        <w:t xml:space="preserve">профессиональный участник рынка ценных бумаг, имеющий лицензию на осуществление деятельности по ведению реестра владельцев ценных бумаг, осуществляющий регистрацию выпуска (дополнительного выпуска) акций (регистрирующая организация). </w:t>
      </w:r>
    </w:p>
    <w:p w14:paraId="589366DD" w14:textId="77777777" w:rsidR="006A49E6" w:rsidRPr="00A73734" w:rsidRDefault="006A49E6" w:rsidP="006A49E6">
      <w:pPr>
        <w:rPr>
          <w:b/>
        </w:rPr>
      </w:pPr>
      <w:r w:rsidRPr="006A49E6">
        <w:rPr>
          <w:b/>
          <w:bCs/>
        </w:rPr>
        <w:t>Эмитент</w:t>
      </w:r>
      <w:r w:rsidRPr="00A73734">
        <w:t xml:space="preserve"> – непубличное акционерное общество, регистрацию выпуска (дополнительного выпуска) акций которого осуществляет Регистратор. </w:t>
      </w:r>
    </w:p>
    <w:p w14:paraId="29DE1E7A" w14:textId="77777777" w:rsidR="006A49E6" w:rsidRPr="00A73734" w:rsidRDefault="006A49E6" w:rsidP="006A49E6">
      <w:bookmarkStart w:id="1" w:name="_Hlk91259614"/>
      <w:r w:rsidRPr="00A73734">
        <w:rPr>
          <w:b/>
          <w:bCs/>
        </w:rPr>
        <w:t xml:space="preserve">Заявитель – </w:t>
      </w:r>
      <w:r w:rsidRPr="00A73734">
        <w:t>лицо, которое определено в договоре о создании акционерного общества или в решении о его учреждении для подписания/предоставления документов Регистратору при регистрации выпуска акций, подлежащих размещению при учреждении Эмитента.</w:t>
      </w:r>
    </w:p>
    <w:bookmarkEnd w:id="1"/>
    <w:p w14:paraId="49440144" w14:textId="77777777" w:rsidR="006A49E6" w:rsidRPr="00A73734" w:rsidRDefault="006A49E6" w:rsidP="006A49E6">
      <w:pPr>
        <w:rPr>
          <w:b/>
        </w:rPr>
      </w:pPr>
      <w:r w:rsidRPr="006A49E6">
        <w:rPr>
          <w:b/>
          <w:bCs/>
        </w:rPr>
        <w:t>Выпуск акций</w:t>
      </w:r>
      <w:r w:rsidRPr="00A73734">
        <w:t xml:space="preserve"> –</w:t>
      </w:r>
      <w:r w:rsidRPr="00A73734">
        <w:rPr>
          <w:lang w:eastAsia="ru-RU"/>
        </w:rPr>
        <w:t xml:space="preserve">совокупность всех акций одного эмитента, предоставляющих равные объем и сроки осуществления прав их владельцам и имеющих одинаковую номинальную стоимость. </w:t>
      </w:r>
    </w:p>
    <w:p w14:paraId="50F16A77" w14:textId="77777777" w:rsidR="006A49E6" w:rsidRPr="00A73734" w:rsidRDefault="006A49E6" w:rsidP="006A49E6">
      <w:pPr>
        <w:rPr>
          <w:lang w:eastAsia="ru-RU"/>
        </w:rPr>
      </w:pPr>
      <w:r w:rsidRPr="00A73734">
        <w:rPr>
          <w:b/>
        </w:rPr>
        <w:t>Дополнительный выпуск акций</w:t>
      </w:r>
      <w:r w:rsidRPr="00A73734">
        <w:t xml:space="preserve"> –- </w:t>
      </w:r>
      <w:r w:rsidRPr="00A73734">
        <w:rPr>
          <w:lang w:eastAsia="ru-RU"/>
        </w:rPr>
        <w:t xml:space="preserve">совокупность акций, размещаемых дополнительно к ранее размещенным акциям того же выпуска путем закрытой подписки с использованием инвестиционной платформы. </w:t>
      </w:r>
    </w:p>
    <w:p w14:paraId="588E2C20" w14:textId="1D6BB106" w:rsidR="006A49E6" w:rsidRPr="00A73734" w:rsidRDefault="006A49E6" w:rsidP="006A49E6">
      <w:pPr>
        <w:pStyle w:val="a2"/>
      </w:pPr>
      <w:r w:rsidRPr="00A73734">
        <w:t xml:space="preserve">Договор. </w:t>
      </w:r>
      <w:r w:rsidRPr="006A49E6">
        <w:t>Внутренний</w:t>
      </w:r>
      <w:r w:rsidRPr="00A73734">
        <w:t xml:space="preserve"> документ</w:t>
      </w:r>
    </w:p>
    <w:p w14:paraId="613F99BF" w14:textId="578962F7" w:rsidR="006A49E6" w:rsidRPr="00A73734" w:rsidRDefault="006A49E6" w:rsidP="006A49E6">
      <w:pPr>
        <w:pStyle w:val="2"/>
      </w:pPr>
      <w:r w:rsidRPr="00A73734">
        <w:t>Регистрация выпуска (дополнительного выпуска) акций осуществляется Регистратором на основании Договора и в соответствии со Стандартами эмиссии</w:t>
      </w:r>
      <w:r w:rsidRPr="00A73734">
        <w:rPr>
          <w:rStyle w:val="aff3"/>
          <w:spacing w:val="2"/>
        </w:rPr>
        <w:footnoteReference w:id="2"/>
      </w:r>
      <w:r w:rsidRPr="00A73734">
        <w:t xml:space="preserve"> и Внутренним документом.</w:t>
      </w:r>
    </w:p>
    <w:p w14:paraId="5FFA1139" w14:textId="49B26B57" w:rsidR="006A49E6" w:rsidRPr="00A73734" w:rsidRDefault="006A49E6" w:rsidP="006A49E6">
      <w:pPr>
        <w:pStyle w:val="3"/>
      </w:pPr>
      <w:r w:rsidRPr="00A73734">
        <w:t>Регистрация выпуска (выпусков) акций, размещаемых при учреждении эмитента, осуществляется на основании Договора, заключаемого Регистратором с учредителями (единственным учредителем) Эмитента или от имени всех его учредителей с лицом, которое определено в договоре о создании акционерного общества или в решении о его учреждении при условии утверждения данного Регистратора учредителем/учредителями.</w:t>
      </w:r>
    </w:p>
    <w:p w14:paraId="17739392" w14:textId="1BED433A" w:rsidR="006A49E6" w:rsidRPr="00A73734" w:rsidRDefault="006A49E6" w:rsidP="006A49E6">
      <w:pPr>
        <w:pStyle w:val="3"/>
      </w:pPr>
      <w:r w:rsidRPr="00A73734">
        <w:t>Регистрация выпуска/дополнительного выпуска акций, размещаемого с использованием инвестиционной платформы, осуществляется на основании Договора, заключаемого Регистратором с Эмитентом, и при условии, что Регистратор ведет реестр владельцев ценных бумаг Эмитента.</w:t>
      </w:r>
    </w:p>
    <w:p w14:paraId="47F1160A" w14:textId="484F6734" w:rsidR="006A49E6" w:rsidRPr="00A73734" w:rsidRDefault="006A49E6" w:rsidP="006A49E6">
      <w:pPr>
        <w:pStyle w:val="2"/>
        <w:rPr>
          <w:b/>
        </w:rPr>
      </w:pPr>
      <w:r w:rsidRPr="00A73734">
        <w:t xml:space="preserve">Внутренний документ должен быть разработан Регистратором до начала осуществления деятельности по регистрации выпусков (дополнительных выпусков) акций. </w:t>
      </w:r>
    </w:p>
    <w:p w14:paraId="06E75AD9" w14:textId="4719FD3F" w:rsidR="006A49E6" w:rsidRPr="00A73734" w:rsidRDefault="006A49E6" w:rsidP="006A49E6">
      <w:pPr>
        <w:pStyle w:val="2"/>
        <w:rPr>
          <w:b/>
          <w:lang w:eastAsia="ru-RU"/>
        </w:rPr>
      </w:pPr>
      <w:r w:rsidRPr="00A73734">
        <w:rPr>
          <w:lang w:eastAsia="ru-RU"/>
        </w:rPr>
        <w:lastRenderedPageBreak/>
        <w:t xml:space="preserve">Внутренний документ утверждается уполномоченным органом Регистратора и размещается на официальном сайте регистратора в сети «Интернет». </w:t>
      </w:r>
    </w:p>
    <w:p w14:paraId="7494E8CE" w14:textId="77777777" w:rsidR="006A49E6" w:rsidRPr="00A73734" w:rsidRDefault="006A49E6" w:rsidP="006A49E6">
      <w:bookmarkStart w:id="2" w:name="_Hlk92812909"/>
      <w:r w:rsidRPr="00A73734">
        <w:t>Утратившие силу редакции Внутренних документов должны быть доступны заинтересованным лицам на официальном сайте Регистратора в сети «Интернет» не менее 5 лет с даты прекращения их действия.</w:t>
      </w:r>
    </w:p>
    <w:bookmarkEnd w:id="2"/>
    <w:p w14:paraId="0FB42CF6" w14:textId="2DF28034" w:rsidR="006A49E6" w:rsidRPr="00A73734" w:rsidRDefault="006A49E6" w:rsidP="006A49E6">
      <w:pPr>
        <w:pStyle w:val="2"/>
        <w:rPr>
          <w:b/>
          <w:lang w:eastAsia="ru-RU"/>
        </w:rPr>
      </w:pPr>
      <w:r w:rsidRPr="00A73734">
        <w:rPr>
          <w:lang w:eastAsia="ru-RU"/>
        </w:rPr>
        <w:t>Договором и/или Внутренним документом определяется, в том числе, порядок обмена документами между Регистратором и Эмитентом в процессе регистрации выпуска (дополнительного выпуска) акций.</w:t>
      </w:r>
    </w:p>
    <w:p w14:paraId="0E2D923E" w14:textId="253972F0" w:rsidR="006A49E6" w:rsidRPr="00A73734" w:rsidRDefault="006A49E6" w:rsidP="006A49E6">
      <w:pPr>
        <w:pStyle w:val="a2"/>
      </w:pPr>
      <w:r w:rsidRPr="00A73734">
        <w:t>Представление документов эмитентом (заявителем)</w:t>
      </w:r>
    </w:p>
    <w:p w14:paraId="055002D5" w14:textId="5ECA8406" w:rsidR="006A49E6" w:rsidRPr="00A73734" w:rsidRDefault="006A49E6" w:rsidP="006A49E6">
      <w:pPr>
        <w:pStyle w:val="2"/>
      </w:pPr>
      <w:r w:rsidRPr="00A73734">
        <w:t>Документы представляются Эмитентом/ Заявителем Регистратору на бумажном носителе и/или в электронной форме. Состав представляемых документов и порядок представления документов Регистратору определяются Договором и/или Внутренним документом и Стандартами эмиссии.</w:t>
      </w:r>
    </w:p>
    <w:p w14:paraId="69896298" w14:textId="5039B3B7" w:rsidR="006A49E6" w:rsidRPr="00A73734" w:rsidRDefault="006A49E6" w:rsidP="006A49E6">
      <w:pPr>
        <w:pStyle w:val="2"/>
      </w:pPr>
      <w:r w:rsidRPr="00A73734">
        <w:t>Требования к документам, представляемым на бумажном носителе.</w:t>
      </w:r>
    </w:p>
    <w:p w14:paraId="56984A6B" w14:textId="154C573D" w:rsidR="006A49E6" w:rsidRPr="00A73734" w:rsidRDefault="006A49E6" w:rsidP="006A49E6">
      <w:pPr>
        <w:pStyle w:val="3"/>
      </w:pPr>
      <w:r w:rsidRPr="00A73734">
        <w:t xml:space="preserve">При представлении документа на бумажном носителе, насчитывающем более 1 (одного) листа, он должен быть пронумерован, прошит и заверен в месте прошивки подписью </w:t>
      </w:r>
      <w:r w:rsidRPr="00A73734">
        <w:rPr>
          <w:spacing w:val="2"/>
          <w:lang w:eastAsia="ru-RU"/>
        </w:rPr>
        <w:t>лица, уполномоченного на подписание такого документа</w:t>
      </w:r>
      <w:r w:rsidRPr="00A73734">
        <w:t>.</w:t>
      </w:r>
    </w:p>
    <w:p w14:paraId="2B6BC59C" w14:textId="6C2C6120" w:rsidR="006A49E6" w:rsidRPr="00A73734" w:rsidRDefault="006A49E6" w:rsidP="006A49E6">
      <w:pPr>
        <w:pStyle w:val="3"/>
      </w:pPr>
      <w:r w:rsidRPr="00A73734">
        <w:t>Подчистки, помарки и исправления в тексте документа, представляемого на бумажном носителе, не допускаются.</w:t>
      </w:r>
    </w:p>
    <w:p w14:paraId="6088CA3C" w14:textId="64EB7CC7" w:rsidR="006A49E6" w:rsidRPr="00A73734" w:rsidRDefault="006A49E6" w:rsidP="006A49E6">
      <w:pPr>
        <w:pStyle w:val="3"/>
      </w:pPr>
      <w:r w:rsidRPr="00A73734">
        <w:t xml:space="preserve">Верность копий документов на бумажном носителе, представляемых Регистратору, должна быть заверена подписью </w:t>
      </w:r>
      <w:r w:rsidRPr="00A73734">
        <w:rPr>
          <w:spacing w:val="2"/>
          <w:lang w:eastAsia="ru-RU"/>
        </w:rPr>
        <w:t>лица, уполномоченного на заверение копий таких документов,</w:t>
      </w:r>
      <w:r w:rsidRPr="00A73734">
        <w:t xml:space="preserve"> либо засвидетельствована нотариально.</w:t>
      </w:r>
    </w:p>
    <w:p w14:paraId="7AC35475" w14:textId="7B781BED" w:rsidR="006A49E6" w:rsidRPr="00A73734" w:rsidRDefault="006A49E6" w:rsidP="006A49E6">
      <w:pPr>
        <w:pStyle w:val="3"/>
      </w:pPr>
      <w:r w:rsidRPr="00A73734">
        <w:rPr>
          <w:lang w:eastAsia="ru-RU"/>
        </w:rPr>
        <w:t>Для регистрации выпуска (дополнительного выпуска) акций/ изменений в решение о выпуске ценных бумаг или в зарегистрированный документ, содержащий условия размещения ценных бумаг, Регистратору вместо копии документа на бумажном носителе может быть предоставлен оригинал такого документа.</w:t>
      </w:r>
    </w:p>
    <w:p w14:paraId="328C0597" w14:textId="632350E1" w:rsidR="006A49E6" w:rsidRPr="00A73734" w:rsidRDefault="006A49E6" w:rsidP="006A49E6">
      <w:pPr>
        <w:pStyle w:val="3"/>
        <w:rPr>
          <w:lang w:eastAsia="ru-RU"/>
        </w:rPr>
      </w:pPr>
      <w:r w:rsidRPr="00A73734">
        <w:rPr>
          <w:lang w:eastAsia="ru-RU"/>
        </w:rPr>
        <w:t>Представление Регистратору решения о выпуске акций/ документа, содержащего условия размещения ценных бумаг/ изменений в решение о выпуске ценных бумаг/ изменений в документ, содержащий условия размещения ценных бумаг, на бумажном носителе может сопровождаться его представлением в форме электронного документа на съемном машинном носителе в формате, предусмотренном Внутренним документом Регистратора.</w:t>
      </w:r>
    </w:p>
    <w:p w14:paraId="40BF39B6" w14:textId="35E65F6D" w:rsidR="006A49E6" w:rsidRPr="00A73734" w:rsidRDefault="006A49E6" w:rsidP="006A49E6">
      <w:pPr>
        <w:pStyle w:val="2"/>
        <w:rPr>
          <w:lang w:eastAsia="ru-RU"/>
        </w:rPr>
      </w:pPr>
      <w:r w:rsidRPr="00A73734">
        <w:rPr>
          <w:lang w:eastAsia="ru-RU"/>
        </w:rPr>
        <w:t>Требования к документам, представляемым в форме электронных документов.</w:t>
      </w:r>
    </w:p>
    <w:p w14:paraId="0315DC61" w14:textId="2A76C728" w:rsidR="006A49E6" w:rsidRPr="00A73734" w:rsidRDefault="006A49E6" w:rsidP="006A49E6">
      <w:pPr>
        <w:pStyle w:val="3"/>
        <w:rPr>
          <w:lang w:eastAsia="ru-RU"/>
        </w:rPr>
      </w:pPr>
      <w:r w:rsidRPr="00A73734">
        <w:rPr>
          <w:lang w:eastAsia="ru-RU"/>
        </w:rPr>
        <w:lastRenderedPageBreak/>
        <w:t xml:space="preserve">Электронные документы должны быть подписаны электронной подписью уполномоченного лица Эмитента/ Заявителя. </w:t>
      </w:r>
    </w:p>
    <w:p w14:paraId="78B41FDF" w14:textId="6EFAD005" w:rsidR="006A49E6" w:rsidRPr="00A73734" w:rsidRDefault="006A49E6" w:rsidP="006A49E6">
      <w:pPr>
        <w:pStyle w:val="3"/>
        <w:rPr>
          <w:lang w:eastAsia="ru-RU"/>
        </w:rPr>
      </w:pPr>
      <w:r w:rsidRPr="00A73734">
        <w:rPr>
          <w:lang w:eastAsia="ru-RU"/>
        </w:rPr>
        <w:t xml:space="preserve">Документы, представляемые в форме электронных документов, должны представляться в виде файлов, имеющих форматы, обеспечивающие возможность их сохранения на технических средствах и допускающие после сохранения возможность поиска и копирования произвольного фрагмента текста средствами для просмотра (*.doc, *.docx, *.pdf), или в виде электронных сканированных образов документов. </w:t>
      </w:r>
    </w:p>
    <w:p w14:paraId="3137956B" w14:textId="334645AA" w:rsidR="006A49E6" w:rsidRPr="00A73734" w:rsidRDefault="006A49E6" w:rsidP="006A49E6">
      <w:pPr>
        <w:pStyle w:val="3"/>
      </w:pPr>
      <w:r w:rsidRPr="00A73734">
        <w:t xml:space="preserve">Если это предусмотрено Внутренним документом, документы могут быть упакованы с помощью программы – архиватора в единый архив. Электронной подписью может быть подписан весь архив документов, при этом решение о выпуске акций/ документ, содержащий условия размещения ценных бумаг/ изменения в решение о выпуске ценных бумаг/ изменения в документ, содержащий условия размещения ценных бумаг, должны представляться в виде отдельных электронных документов, подписываемых электронной подписью. </w:t>
      </w:r>
    </w:p>
    <w:p w14:paraId="3C6BE78A" w14:textId="08BF7348" w:rsidR="006A49E6" w:rsidRPr="00A73734" w:rsidRDefault="006A49E6" w:rsidP="006A49E6">
      <w:pPr>
        <w:pStyle w:val="2"/>
        <w:rPr>
          <w:b/>
          <w:lang w:eastAsia="ru-RU"/>
        </w:rPr>
      </w:pPr>
      <w:r w:rsidRPr="00A73734">
        <w:rPr>
          <w:lang w:eastAsia="ru-RU"/>
        </w:rPr>
        <w:t>Внутренним документом может быть предусмотрено, что документы предоставляются Регистратору по описи, составленной по форме приложения 8 к Стандартам эмиссии или по иной форме, определенной Внутренним документом.</w:t>
      </w:r>
    </w:p>
    <w:p w14:paraId="129E5F6B" w14:textId="2105703F" w:rsidR="006A49E6" w:rsidRPr="00A73734" w:rsidRDefault="006A49E6" w:rsidP="00FA5F07">
      <w:pPr>
        <w:pStyle w:val="2"/>
        <w:rPr>
          <w:b/>
          <w:lang w:eastAsia="ru-RU"/>
        </w:rPr>
      </w:pPr>
      <w:r w:rsidRPr="00A73734">
        <w:rPr>
          <w:lang w:eastAsia="ru-RU"/>
        </w:rPr>
        <w:t>В Договоре/ Внутреннем документе/ договоре на ведение реестра владельцев ценных бумаг может быть предусмотрен порядок действий Регистратора в случае, если государственная регистрация акционерного общества проведена в установленный срок, но Эмитент не предоставил Регистратору документ, подтверждающий регистрацию общества, и не передал иные документы, необходимые для завершения процедуры эмиссии ценных бумаг и начала ведения реестра.</w:t>
      </w:r>
    </w:p>
    <w:p w14:paraId="60BF4DE2" w14:textId="77777777" w:rsidR="006A49E6" w:rsidRPr="00A73734" w:rsidRDefault="006A49E6" w:rsidP="006A49E6">
      <w:pPr>
        <w:pStyle w:val="a2"/>
        <w:numPr>
          <w:ilvl w:val="0"/>
          <w:numId w:val="0"/>
        </w:numPr>
        <w:spacing w:before="0" w:after="0" w:line="360" w:lineRule="auto"/>
        <w:jc w:val="both"/>
        <w:rPr>
          <w:b w:val="0"/>
          <w:bCs/>
          <w:spacing w:val="2"/>
          <w:lang w:eastAsia="ru-RU"/>
        </w:rPr>
      </w:pPr>
      <w:r w:rsidRPr="00A73734">
        <w:rPr>
          <w:b w:val="0"/>
          <w:bCs/>
          <w:spacing w:val="2"/>
          <w:lang w:eastAsia="ru-RU"/>
        </w:rPr>
        <w:t>К таким действиям относятся:</w:t>
      </w:r>
    </w:p>
    <w:p w14:paraId="261BB1EB" w14:textId="77777777" w:rsidR="006A49E6" w:rsidRPr="00A73734" w:rsidRDefault="006A49E6" w:rsidP="00FA5F07">
      <w:pPr>
        <w:pStyle w:val="a2"/>
        <w:widowControl w:val="0"/>
        <w:numPr>
          <w:ilvl w:val="0"/>
          <w:numId w:val="35"/>
        </w:numPr>
        <w:spacing w:before="0" w:after="0" w:line="360" w:lineRule="auto"/>
        <w:ind w:left="714" w:hanging="357"/>
        <w:rPr>
          <w:b w:val="0"/>
          <w:bCs/>
          <w:spacing w:val="2"/>
          <w:lang w:eastAsia="ru-RU"/>
        </w:rPr>
      </w:pPr>
      <w:r w:rsidRPr="00A73734">
        <w:rPr>
          <w:b w:val="0"/>
          <w:bCs/>
          <w:spacing w:val="2"/>
          <w:lang w:eastAsia="ru-RU"/>
        </w:rPr>
        <w:t>письменное уведомление Эмитента о необходимости предоставления документов;</w:t>
      </w:r>
    </w:p>
    <w:p w14:paraId="0F853D8B" w14:textId="77777777" w:rsidR="006A49E6" w:rsidRPr="00A73734" w:rsidRDefault="006A49E6" w:rsidP="00FA5F07">
      <w:pPr>
        <w:pStyle w:val="a2"/>
        <w:widowControl w:val="0"/>
        <w:numPr>
          <w:ilvl w:val="0"/>
          <w:numId w:val="35"/>
        </w:numPr>
        <w:spacing w:before="0" w:after="0" w:line="360" w:lineRule="auto"/>
        <w:ind w:left="714" w:hanging="357"/>
        <w:rPr>
          <w:b w:val="0"/>
          <w:bCs/>
          <w:spacing w:val="2"/>
          <w:lang w:eastAsia="ru-RU"/>
        </w:rPr>
      </w:pPr>
      <w:r w:rsidRPr="00A73734">
        <w:rPr>
          <w:b w:val="0"/>
          <w:bCs/>
          <w:spacing w:val="2"/>
          <w:lang w:eastAsia="ru-RU"/>
        </w:rPr>
        <w:t>письменное уведомление единственного учредителя (одного из учредителей) Эмитента о необходимости предоставления документов;</w:t>
      </w:r>
    </w:p>
    <w:p w14:paraId="0596C7AE" w14:textId="77777777" w:rsidR="006A49E6" w:rsidRPr="00A73734" w:rsidRDefault="006A49E6" w:rsidP="00FA5F07">
      <w:pPr>
        <w:pStyle w:val="a2"/>
        <w:widowControl w:val="0"/>
        <w:numPr>
          <w:ilvl w:val="0"/>
          <w:numId w:val="35"/>
        </w:numPr>
        <w:spacing w:before="0" w:after="0" w:line="360" w:lineRule="auto"/>
        <w:ind w:left="714" w:hanging="357"/>
        <w:rPr>
          <w:b w:val="0"/>
          <w:bCs/>
          <w:spacing w:val="2"/>
          <w:lang w:eastAsia="ru-RU"/>
        </w:rPr>
      </w:pPr>
      <w:r w:rsidRPr="00A73734">
        <w:rPr>
          <w:b w:val="0"/>
          <w:bCs/>
          <w:spacing w:val="2"/>
          <w:lang w:eastAsia="ru-RU"/>
        </w:rPr>
        <w:t>иные действия, предусмотренные Договором/ Внутренним документом/ договором на ведение реестра владельцев ценных бумаг.</w:t>
      </w:r>
    </w:p>
    <w:p w14:paraId="04770AF2" w14:textId="7DF8E98C" w:rsidR="006A49E6" w:rsidRPr="00A73734" w:rsidRDefault="006A49E6" w:rsidP="00FA5F07">
      <w:pPr>
        <w:pStyle w:val="a2"/>
      </w:pPr>
      <w:r w:rsidRPr="00A73734">
        <w:t>Рассмотрение документов и регистрация выпуска (дополнительного выпуска). Принятие решения о регистрации/отказе в регистрации выпуска (дополнительного выпуска).</w:t>
      </w:r>
    </w:p>
    <w:p w14:paraId="65EBAA3F" w14:textId="7294B5CE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 xml:space="preserve">Регистратор рассматривает представленные Эмитентом/ Заявителем для регистрации выпуска (дополнительного выпуска) акций/ изменений в решение о выпуске </w:t>
      </w:r>
      <w:r w:rsidRPr="00A73734">
        <w:rPr>
          <w:lang w:eastAsia="ru-RU"/>
        </w:rPr>
        <w:lastRenderedPageBreak/>
        <w:t>ценных бумаг или зарегистрированный документ, содержащий условия размещения ценных бумаг, документы в срок, не превышающий 15 (пятнадцати) рабочих дней с даты получения документов, не учитывая периода приостановления рассмотрения документов (п. 5.10 Внутреннего стандарта) и приостановления эмиссии (п. 6.1 Внутреннего стандарта).</w:t>
      </w:r>
    </w:p>
    <w:p w14:paraId="1CEF25E7" w14:textId="7575C01C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>В случае принятия решения о регистрации выпуска акций, подлежащих размещению при учреждении Эмитента, Регистратор в течение 3 (трех) рабочих дней с даты принятия указанного решения направляет/вручает Заявителю:</w:t>
      </w:r>
    </w:p>
    <w:p w14:paraId="1D8DE1CB" w14:textId="77777777" w:rsidR="006A49E6" w:rsidRPr="00A73734" w:rsidRDefault="006A49E6" w:rsidP="006A49E6">
      <w:pPr>
        <w:pStyle w:val="1c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уведомление о регистрации выпуска акций;</w:t>
      </w:r>
    </w:p>
    <w:p w14:paraId="671BD82C" w14:textId="77777777" w:rsidR="006A49E6" w:rsidRPr="00A73734" w:rsidRDefault="006A49E6" w:rsidP="006A49E6">
      <w:pPr>
        <w:pStyle w:val="1c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2 (два) экземпляра решения о выпуске акций.</w:t>
      </w:r>
    </w:p>
    <w:p w14:paraId="32410F5D" w14:textId="1C6F0828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>В случае принятия решения о регистрации выпуска (дополнительного выпуска) акций, размещаемых путем закрытой подписки с использованием инвестиционной платформы, Регистратор в течение 3 (трех) рабочих дней с даты принятия указанного решения направляет/вручает уполномоченному лицу Эмитента:</w:t>
      </w:r>
    </w:p>
    <w:p w14:paraId="04F73489" w14:textId="77777777" w:rsidR="006A49E6" w:rsidRPr="00A73734" w:rsidRDefault="006A49E6" w:rsidP="006A49E6">
      <w:pPr>
        <w:pStyle w:val="1c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уведомление о регистрации выпуска (дополнительного выпуска) акций,</w:t>
      </w:r>
    </w:p>
    <w:p w14:paraId="1AA725C4" w14:textId="77777777" w:rsidR="006A49E6" w:rsidRPr="00A73734" w:rsidRDefault="006A49E6" w:rsidP="00FA5F07">
      <w:pPr>
        <w:pStyle w:val="1c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2 (два) экземпляра документа, содержащего условия размещения ценных бумаг и (или) решения о выпуске акций</w:t>
      </w:r>
      <w:r w:rsidRPr="00A73734">
        <w:rPr>
          <w:rStyle w:val="aff3"/>
          <w:rFonts w:ascii="Times New Roman" w:hAnsi="Times New Roman"/>
          <w:spacing w:val="2"/>
          <w:sz w:val="24"/>
          <w:szCs w:val="24"/>
          <w:lang w:eastAsia="ru-RU"/>
        </w:rPr>
        <w:footnoteReference w:id="3"/>
      </w:r>
    </w:p>
    <w:p w14:paraId="19609A4F" w14:textId="2413E6A7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>В случае принятия решения о регистрации изменений в решение о выпуске акций или зарегистрированный документ, содержащий условия размещения ценных бумаг, Регистратор в течение 3 (трех) рабочих дней с даты принятия указанного решения направляет/вручает Заявителю/уполномоченному лицу Эмитента:</w:t>
      </w:r>
    </w:p>
    <w:p w14:paraId="2A0C94D4" w14:textId="77777777" w:rsidR="006A49E6" w:rsidRPr="00A73734" w:rsidRDefault="006A49E6" w:rsidP="00FA5F07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782" w:hanging="357"/>
        <w:rPr>
          <w:spacing w:val="2"/>
          <w:lang w:eastAsia="ru-RU"/>
        </w:rPr>
      </w:pPr>
      <w:r w:rsidRPr="00A73734">
        <w:rPr>
          <w:spacing w:val="2"/>
          <w:lang w:eastAsia="ru-RU"/>
        </w:rPr>
        <w:t>уведомление о регистрации изменений в решение о выпуске ценных бумаг или документ, содержащий условия размещения ценных бумаг,</w:t>
      </w:r>
    </w:p>
    <w:p w14:paraId="3FB65179" w14:textId="77777777" w:rsidR="006A49E6" w:rsidRPr="00A73734" w:rsidRDefault="006A49E6" w:rsidP="00FA5F07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782" w:hanging="357"/>
        <w:rPr>
          <w:spacing w:val="2"/>
          <w:lang w:eastAsia="ru-RU"/>
        </w:rPr>
      </w:pPr>
      <w:r w:rsidRPr="00A73734">
        <w:rPr>
          <w:spacing w:val="2"/>
          <w:lang w:eastAsia="ru-RU"/>
        </w:rPr>
        <w:t>2 (два) экземпляра изменений в решение о выпуске ценных бумаг или документ, содержащий условия размещения ценных бумаг.</w:t>
      </w:r>
    </w:p>
    <w:p w14:paraId="50605B3C" w14:textId="6D1F1A62" w:rsidR="006A49E6" w:rsidRPr="00A73734" w:rsidRDefault="006A49E6" w:rsidP="00FA5F07">
      <w:pPr>
        <w:pStyle w:val="2"/>
        <w:rPr>
          <w:spacing w:val="2"/>
          <w:lang w:eastAsia="ru-RU"/>
        </w:rPr>
      </w:pPr>
      <w:r w:rsidRPr="00A73734">
        <w:rPr>
          <w:lang w:eastAsia="ru-RU"/>
        </w:rPr>
        <w:t xml:space="preserve">Внутренним документом Регистратора или Договором может быть предусмотрено, что </w:t>
      </w:r>
      <w:r w:rsidRPr="00A73734">
        <w:rPr>
          <w:spacing w:val="2"/>
          <w:lang w:eastAsia="ru-RU"/>
        </w:rPr>
        <w:t>Заявителю/</w:t>
      </w:r>
      <w:r w:rsidRPr="00A73734">
        <w:rPr>
          <w:lang w:eastAsia="ru-RU"/>
        </w:rPr>
        <w:t>уполномоченному лицу Эмитента</w:t>
      </w:r>
      <w:r w:rsidRPr="00A73734" w:rsidDel="004770C5">
        <w:rPr>
          <w:lang w:eastAsia="ru-RU"/>
        </w:rPr>
        <w:t xml:space="preserve"> </w:t>
      </w:r>
      <w:r w:rsidRPr="00A73734">
        <w:rPr>
          <w:lang w:eastAsia="ru-RU"/>
        </w:rPr>
        <w:t xml:space="preserve">направляется/вручается 1 (один) экземпляр решения о выпуске ценных бумаг/документа, содержащего условия размещения ценных бумаг/ </w:t>
      </w:r>
      <w:r w:rsidRPr="00A73734">
        <w:rPr>
          <w:spacing w:val="2"/>
          <w:lang w:eastAsia="ru-RU"/>
        </w:rPr>
        <w:t>изменений в решение о выпуске ценных бумаг или документ, содержащий условия размещения ценных бумаг</w:t>
      </w:r>
      <w:r w:rsidRPr="00A73734">
        <w:rPr>
          <w:lang w:eastAsia="ru-RU"/>
        </w:rPr>
        <w:t>. Второй экземпляр Регистратор оставляет для формирования комплекта документов, необходимых для осуществления ведения реестра владельцев ценных бумаг.</w:t>
      </w:r>
    </w:p>
    <w:p w14:paraId="1B98E331" w14:textId="57FB8A71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lastRenderedPageBreak/>
        <w:t>На всех экземплярах решения о выпуске акций/ документа, содержащего условия размещения ценных бумаг/ изменений в решение о выпуске ценных бумаг или документ, содержащий условия размещения ценных бумаг, проставляется отметка о его регистрации с указанием наименования Регистратора, даты принятия решения о регистрации, регистрационного номера</w:t>
      </w:r>
      <w:r w:rsidRPr="00A73734">
        <w:rPr>
          <w:rStyle w:val="aff3"/>
          <w:spacing w:val="2"/>
          <w:lang w:eastAsia="ru-RU"/>
        </w:rPr>
        <w:footnoteReference w:id="4"/>
      </w:r>
      <w:r w:rsidRPr="00A73734">
        <w:rPr>
          <w:lang w:eastAsia="ru-RU"/>
        </w:rPr>
        <w:t xml:space="preserve"> выпуска (дополнительного выпуска) акций и подписи уполномоченного лица Регистратора, его ФИО и должности.</w:t>
      </w:r>
    </w:p>
    <w:p w14:paraId="535092D6" w14:textId="77777777" w:rsidR="006A49E6" w:rsidRPr="00A73734" w:rsidRDefault="006A49E6" w:rsidP="00FA5F07">
      <w:pPr>
        <w:rPr>
          <w:spacing w:val="2"/>
          <w:lang w:eastAsia="ru-RU"/>
        </w:rPr>
      </w:pPr>
      <w:r w:rsidRPr="00A73734">
        <w:t>На титульных листах решения о выпуске акций, подлежащих размещению при учреждении Эмитента, представленных на бумажном носителе, дополнительно проставляется отметка следующего содержания: «Решение о регистрации выпуска акций, подлежащих размещению при учреждении акционерного общества, вступает в силу с даты государственной регистрации акционерного общества».</w:t>
      </w:r>
    </w:p>
    <w:p w14:paraId="551DF2E2" w14:textId="77777777" w:rsidR="006A49E6" w:rsidRPr="00A73734" w:rsidRDefault="006A49E6" w:rsidP="00FA5F07">
      <w:pPr>
        <w:rPr>
          <w:lang w:eastAsia="ru-RU"/>
        </w:rPr>
      </w:pPr>
      <w:r w:rsidRPr="00A73734">
        <w:rPr>
          <w:lang w:eastAsia="ru-RU"/>
        </w:rPr>
        <w:t>При этом решение о выпуске акций/ документ, содержащий условия размещения ценных бумаг/ изменения в решение о выпуске ценных бумаг или документ, содержащий условия размещения ценных бумаг, оформленные в электронном виде, подписываются электронной подписью уполномоченного лица Регистратора.</w:t>
      </w:r>
    </w:p>
    <w:p w14:paraId="78FBAB74" w14:textId="121EDB8D" w:rsidR="006A49E6" w:rsidRPr="00A73734" w:rsidRDefault="006A49E6" w:rsidP="00FA5F07">
      <w:pPr>
        <w:pStyle w:val="2"/>
        <w:rPr>
          <w:spacing w:val="2"/>
          <w:lang w:eastAsia="ru-RU"/>
        </w:rPr>
      </w:pPr>
      <w:r w:rsidRPr="00A73734">
        <w:t xml:space="preserve">В случае выявления несоответствия документов, представленных для регистрации, требованиям законодательства Российской Федерации о ценных бумагах, в том числе: </w:t>
      </w:r>
    </w:p>
    <w:p w14:paraId="69ED7BCC" w14:textId="77777777" w:rsidR="006A49E6" w:rsidRPr="00A73734" w:rsidRDefault="006A49E6" w:rsidP="00FA5F07">
      <w:pPr>
        <w:pStyle w:val="1c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представление Регистратору не всех документов, необходимых для регистрации;</w:t>
      </w:r>
    </w:p>
    <w:p w14:paraId="56B32849" w14:textId="77777777" w:rsidR="006A49E6" w:rsidRPr="00A73734" w:rsidRDefault="006A49E6" w:rsidP="00FA5F07">
      <w:pPr>
        <w:pStyle w:val="1c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>несоответствие состава сведений, содержащихся в представленных Регистратору документах, требованиям Федерального закона от 22.04.1996 № 39-ФЗ «О рынке ценных бумаг» и Стандартов эмиссии;</w:t>
      </w:r>
    </w:p>
    <w:p w14:paraId="321D56EE" w14:textId="77777777" w:rsidR="006A49E6" w:rsidRPr="00A73734" w:rsidRDefault="006A49E6" w:rsidP="00FA5F07">
      <w:pPr>
        <w:pStyle w:val="1c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A73734">
        <w:rPr>
          <w:rFonts w:ascii="Times New Roman" w:hAnsi="Times New Roman"/>
          <w:spacing w:val="2"/>
          <w:sz w:val="24"/>
          <w:szCs w:val="24"/>
          <w:lang w:eastAsia="ru-RU"/>
        </w:rPr>
        <w:t xml:space="preserve">иных устранимых нарушений, </w:t>
      </w:r>
    </w:p>
    <w:p w14:paraId="2A9CBD35" w14:textId="77777777" w:rsidR="006A49E6" w:rsidRPr="00A73734" w:rsidRDefault="006A49E6" w:rsidP="00FA5F07">
      <w:pPr>
        <w:rPr>
          <w:lang w:eastAsia="ru-RU"/>
        </w:rPr>
      </w:pPr>
      <w:r w:rsidRPr="00A73734">
        <w:rPr>
          <w:lang w:eastAsia="ru-RU"/>
        </w:rPr>
        <w:t>Регистратор не позднее 3 (трех) рабочих дней с момента соответствующего выявления направляет Эмитенту/ Заявителю уведомление о необходимости устранения выявленного несоответствия, но не позднее окончания срока, указанного в п. 5.1 Внутреннего стандарта.</w:t>
      </w:r>
    </w:p>
    <w:p w14:paraId="5A135E70" w14:textId="3BAFA5DF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>Если при рассмотрении документов, представленных для регистрации, Регистратором выявлены признаки наличия в них сведений, не соответствующих действительности (недостоверных сведений), Регистратор проводит проверку достоверности сведений, содержащихся в документах, представленных для регистрации.</w:t>
      </w:r>
    </w:p>
    <w:p w14:paraId="341AD3C4" w14:textId="075C78DA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 xml:space="preserve">В целях проведения проверки достоверности сведений, содержащихся в документах, представленных для регистрации, Регистратор не позднее 3 (трех) рабочих дней с даты выявления признаков, указанных в пункте 5.8 Внутреннего стандарта, </w:t>
      </w:r>
      <w:r w:rsidRPr="00A73734">
        <w:rPr>
          <w:lang w:eastAsia="ru-RU"/>
        </w:rPr>
        <w:lastRenderedPageBreak/>
        <w:t xml:space="preserve">направляет Заявителю/Эмитенту уведомление о проведении такой проверки, но не позднее окончания срока, указанного в пункте 5.1 Внутреннего стандарта. </w:t>
      </w:r>
    </w:p>
    <w:p w14:paraId="043AE152" w14:textId="77777777" w:rsidR="006A49E6" w:rsidRPr="00A73734" w:rsidRDefault="006A49E6" w:rsidP="00FA5F07">
      <w:pPr>
        <w:rPr>
          <w:lang w:eastAsia="ru-RU"/>
        </w:rPr>
      </w:pPr>
      <w:r w:rsidRPr="00A73734">
        <w:rPr>
          <w:lang w:eastAsia="ru-RU"/>
        </w:rPr>
        <w:t>В случае выявления несоответствия документов, представленных для регистрации, требованиям законодательства Российской Федерации о ценных бумагах в указанное уведомление должны быть включены также сведения о выявленных несоответствиях. В этом случае уведомление, предусмотренное пунктом 5.7 Внутреннего стандарта, не направляется.</w:t>
      </w:r>
    </w:p>
    <w:p w14:paraId="61E2B578" w14:textId="51B2F79A" w:rsidR="006A49E6" w:rsidRPr="00A73734" w:rsidRDefault="006A49E6" w:rsidP="00FA5F07">
      <w:pPr>
        <w:pStyle w:val="2"/>
        <w:rPr>
          <w:lang w:eastAsia="ru-RU"/>
        </w:rPr>
      </w:pPr>
      <w:r w:rsidRPr="00A73734">
        <w:rPr>
          <w:lang w:eastAsia="ru-RU"/>
        </w:rPr>
        <w:t>В случае направления уведомления о необходимости устранения несоответствий, содержащихся в представленных документах, или уведомления о проведении проверки достоверности сведений, содержащихся в представленных документах, рассмотрение документов может приостанавливаться до устранения выявленного несоответствия или на время проведения проверки, но не более чем на 20 (двадцать) рабочих дней.</w:t>
      </w:r>
    </w:p>
    <w:p w14:paraId="51589CA7" w14:textId="2F2632B6" w:rsidR="006A49E6" w:rsidRPr="00A73734" w:rsidRDefault="006A49E6" w:rsidP="00FA5F07">
      <w:pPr>
        <w:pStyle w:val="2"/>
        <w:rPr>
          <w:shd w:val="clear" w:color="auto" w:fill="FFFFFF"/>
        </w:rPr>
      </w:pPr>
      <w:r w:rsidRPr="00A73734">
        <w:rPr>
          <w:shd w:val="clear" w:color="auto" w:fill="FFFFFF"/>
        </w:rPr>
        <w:t>В случае принятия решения об отказе в регистрации Регистратор в течение 3 (трех) рабочих дней с даты принятия указанного решения направляет Эмитенту/Заявителю уведомление об отказе в регистрации, содержащее основания отказа.</w:t>
      </w:r>
    </w:p>
    <w:p w14:paraId="4F7E8743" w14:textId="574503BB" w:rsidR="006A49E6" w:rsidRPr="00A73734" w:rsidRDefault="006A49E6" w:rsidP="00FA5F07">
      <w:pPr>
        <w:pStyle w:val="a2"/>
      </w:pPr>
      <w:r w:rsidRPr="00A73734">
        <w:t>Приостановление и возобновление эмиссии акций</w:t>
      </w:r>
    </w:p>
    <w:p w14:paraId="4417F1F4" w14:textId="11000EE2" w:rsidR="006A49E6" w:rsidRPr="00A73734" w:rsidRDefault="006A49E6" w:rsidP="00FA5F07">
      <w:pPr>
        <w:pStyle w:val="2"/>
      </w:pPr>
      <w:r w:rsidRPr="00A73734">
        <w:t>Регистратор может приостановить эмиссию при обнаружении до начала размещения акций следующих обстоятельств:</w:t>
      </w:r>
    </w:p>
    <w:p w14:paraId="65A9E499" w14:textId="77777777" w:rsidR="006A49E6" w:rsidRPr="00A73734" w:rsidRDefault="006A49E6" w:rsidP="00FA5F07">
      <w:pPr>
        <w:pStyle w:val="1c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A73734">
        <w:rPr>
          <w:rFonts w:ascii="Times New Roman" w:hAnsi="Times New Roman"/>
          <w:sz w:val="24"/>
          <w:szCs w:val="24"/>
        </w:rPr>
        <w:t>нарушения Эмитентом в ходе эмиссии требований законодательства Российской Федерации о ценных бумагах;</w:t>
      </w:r>
    </w:p>
    <w:p w14:paraId="41B39BF2" w14:textId="77777777" w:rsidR="006A49E6" w:rsidRPr="00A73734" w:rsidRDefault="006A49E6" w:rsidP="00FA5F07">
      <w:pPr>
        <w:pStyle w:val="1c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A73734">
        <w:rPr>
          <w:rFonts w:ascii="Times New Roman" w:hAnsi="Times New Roman"/>
          <w:sz w:val="24"/>
          <w:szCs w:val="24"/>
        </w:rPr>
        <w:t>недостоверной или вводящей в заблуждение информации в документах, на основании которых была осуществлена регистрация выпуска (дополнительного выпуска) акций.</w:t>
      </w:r>
    </w:p>
    <w:p w14:paraId="22726F01" w14:textId="4BB0B394" w:rsidR="006A49E6" w:rsidRPr="00A73734" w:rsidRDefault="006A49E6" w:rsidP="00FA5F07">
      <w:pPr>
        <w:pStyle w:val="2"/>
      </w:pPr>
      <w:r w:rsidRPr="00A73734">
        <w:t>О принятом решении о приостановлении эмиссии акций Регистратор уведомляет Эмитента</w:t>
      </w:r>
      <w:r w:rsidRPr="00A73734">
        <w:rPr>
          <w:spacing w:val="2"/>
          <w:lang w:eastAsia="ru-RU"/>
        </w:rPr>
        <w:t>/ Заявителя</w:t>
      </w:r>
      <w:r w:rsidRPr="00A73734">
        <w:t xml:space="preserve"> не позднее 3 (трех) рабочих дней с даты принятия решения.</w:t>
      </w:r>
    </w:p>
    <w:p w14:paraId="1B1935E8" w14:textId="3336AC30" w:rsidR="006A49E6" w:rsidRPr="00A73734" w:rsidRDefault="006A49E6" w:rsidP="00FA5F07">
      <w:pPr>
        <w:pStyle w:val="2"/>
      </w:pPr>
      <w:r w:rsidRPr="00A73734">
        <w:t>Регистратор для выяснения всех обстоятельств, повлекших приостановление эмиссии акций, запрашивает у Эмитента/ Заявителя и иных лиц необходимые сведения и (или) документы.</w:t>
      </w:r>
    </w:p>
    <w:p w14:paraId="3135D621" w14:textId="04779D33" w:rsidR="006A49E6" w:rsidRPr="00A73734" w:rsidRDefault="006A49E6" w:rsidP="00FA5F07">
      <w:pPr>
        <w:pStyle w:val="2"/>
      </w:pPr>
      <w:r w:rsidRPr="00A73734">
        <w:t>Сведения и (или) документы, представленные Эмитентом/ Заявителем в ответ на уведомление о приостановлении эмиссии акций или запрошенные в соответствии с пунктом 6.3 Внутреннего стандарта, должны быть рассмотрены Регистратором в течение 15 (пятнадцати) рабочих дней с даты, следующей за датой их получения.</w:t>
      </w:r>
    </w:p>
    <w:p w14:paraId="79648973" w14:textId="6B309276" w:rsidR="006A49E6" w:rsidRPr="00A73734" w:rsidRDefault="006A49E6" w:rsidP="00FA5F07">
      <w:pPr>
        <w:pStyle w:val="2"/>
      </w:pPr>
      <w:r w:rsidRPr="00A73734">
        <w:t>Регистратор уведомляет Эмитента/ Заявителя о результатах рассмотрения документов (в соответствии с пунктом 6.4 Внутреннего стандарта) в течение 3 (трех) рабочих дней с даты окончания срока, указанного в пункте 6.4 Внутреннего стандарта.</w:t>
      </w:r>
    </w:p>
    <w:p w14:paraId="20F9FC56" w14:textId="511A31E5" w:rsidR="006A49E6" w:rsidRPr="00A73734" w:rsidRDefault="006A49E6" w:rsidP="00FA5F07">
      <w:pPr>
        <w:pStyle w:val="a2"/>
      </w:pPr>
      <w:r w:rsidRPr="00A73734">
        <w:lastRenderedPageBreak/>
        <w:t>Аннулирование решения о регистрации выпуска акций</w:t>
      </w:r>
    </w:p>
    <w:p w14:paraId="315236F3" w14:textId="718AB566" w:rsidR="006A49E6" w:rsidRPr="00A73734" w:rsidRDefault="006A49E6" w:rsidP="00FA5F07">
      <w:pPr>
        <w:pStyle w:val="2"/>
      </w:pPr>
      <w:r w:rsidRPr="00A73734">
        <w:t xml:space="preserve">В случае принятия решения </w:t>
      </w:r>
      <w:r w:rsidRPr="00A73734">
        <w:rPr>
          <w:spacing w:val="2"/>
          <w:lang w:eastAsia="ru-RU"/>
        </w:rPr>
        <w:t>об аннулировании решения о регистрации выпуска акций</w:t>
      </w:r>
      <w:r w:rsidRPr="00A73734">
        <w:t xml:space="preserve"> Регистратор в течение 3 (трех) рабочих дней с даты принятия указанного решения направляет Заявителю уведомление </w:t>
      </w:r>
      <w:r w:rsidRPr="00A73734">
        <w:rPr>
          <w:spacing w:val="2"/>
          <w:lang w:eastAsia="ru-RU"/>
        </w:rPr>
        <w:t>об аннулировании решения о регистрации выпуска акций в соответствии с порядком, предусмотренным Договором и/или Внутренним документом</w:t>
      </w:r>
      <w:r w:rsidRPr="00A73734">
        <w:t>.</w:t>
      </w:r>
    </w:p>
    <w:p w14:paraId="3A12DB99" w14:textId="2CED2812" w:rsidR="006A49E6" w:rsidRPr="00A73734" w:rsidRDefault="006A49E6" w:rsidP="00FA5F07">
      <w:pPr>
        <w:pStyle w:val="a2"/>
      </w:pPr>
      <w:r w:rsidRPr="00A73734">
        <w:t>Признание выпуска (дополнительного выпуска) акций несостоявшимся</w:t>
      </w:r>
    </w:p>
    <w:p w14:paraId="007F55D3" w14:textId="4DF59FF5" w:rsidR="006A49E6" w:rsidRPr="00A73734" w:rsidRDefault="006A49E6" w:rsidP="00FA5F07">
      <w:pPr>
        <w:pStyle w:val="2"/>
      </w:pPr>
      <w:r w:rsidRPr="00A73734">
        <w:rPr>
          <w:color w:val="22272F"/>
          <w:shd w:val="clear" w:color="auto" w:fill="FFFFFF"/>
        </w:rPr>
        <w:t xml:space="preserve">В случае отказа учредителей акционерного общества или Эмитента от размещения акций </w:t>
      </w:r>
      <w:r w:rsidRPr="00A73734">
        <w:t>Регистратор принимает решение о признании выпуска (дополнительного выпуска) акций несостоявшимся и аннулировании его регистрации или мотивированное решение об отказе в признании выпуска (дополнительного выпуска) акций несостоявшимся и аннулировании его регистрации в течение 10 (десяти) рабочих дней с даты получения необходимых документов в соответствии с п. 8.4 Стандартов эмиссии.</w:t>
      </w:r>
    </w:p>
    <w:p w14:paraId="300C3FF1" w14:textId="3BDEBEF9" w:rsidR="006A49E6" w:rsidRPr="00A73734" w:rsidRDefault="006A49E6" w:rsidP="00FA5F07">
      <w:pPr>
        <w:pStyle w:val="2"/>
      </w:pPr>
      <w:r w:rsidRPr="00A73734">
        <w:t xml:space="preserve">В случае принятия решения о признании выпуска (дополнительного выпуска) акций несостоявшимся и аннулировании его регистрации/ принятия решения об отказе в признании выпуска (дополнительного выпуска) акций несостоявшимся Регистратор в течение 3 (трех) рабочих дней с даты принятия указанного решения выдает (направляет) Эмитенту/ Заявителю уведомление </w:t>
      </w:r>
      <w:r w:rsidRPr="00A73734">
        <w:rPr>
          <w:spacing w:val="2"/>
          <w:lang w:eastAsia="ru-RU"/>
        </w:rPr>
        <w:t xml:space="preserve">о признании выпуска (дополнительного выпуска) акций несостоявшимся </w:t>
      </w:r>
      <w:r w:rsidRPr="00A73734">
        <w:t>и аннулировании его регистрации</w:t>
      </w:r>
      <w:r w:rsidRPr="00A73734">
        <w:rPr>
          <w:spacing w:val="2"/>
          <w:lang w:eastAsia="ru-RU"/>
        </w:rPr>
        <w:t xml:space="preserve">/ </w:t>
      </w:r>
      <w:r w:rsidRPr="00A73734">
        <w:t>уведомление об отказе в признании выпуска (дополнительного выпуска) акций несостоявшимся</w:t>
      </w:r>
      <w:r w:rsidRPr="00A73734">
        <w:rPr>
          <w:spacing w:val="2"/>
          <w:lang w:eastAsia="ru-RU"/>
        </w:rPr>
        <w:t xml:space="preserve"> в соответствии с порядком, предусмотренным Договором и/или Внутренним документом</w:t>
      </w:r>
      <w:r w:rsidRPr="00A73734">
        <w:t>.</w:t>
      </w:r>
    </w:p>
    <w:p w14:paraId="60FDD48B" w14:textId="11FFB583" w:rsidR="006A49E6" w:rsidRPr="00A73734" w:rsidRDefault="006A49E6" w:rsidP="00FA5F07">
      <w:pPr>
        <w:pStyle w:val="a2"/>
      </w:pPr>
      <w:r w:rsidRPr="00A73734">
        <w:t>Хранение документов</w:t>
      </w:r>
    </w:p>
    <w:p w14:paraId="04CFD598" w14:textId="35E40A29" w:rsidR="006A49E6" w:rsidRPr="00A73734" w:rsidRDefault="006A49E6" w:rsidP="00FA5F07">
      <w:pPr>
        <w:pStyle w:val="2"/>
        <w:rPr>
          <w:b/>
        </w:rPr>
      </w:pPr>
      <w:r w:rsidRPr="00A73734">
        <w:t>Все документы (копии документов, электронные носители и прочие материалы), полученные Регистратором в процессе регистрации, и подготовленные Регистратором самостоятельно, составляют материалы эмиссионного дела, которое находится на хранении у Регистратора в соответствии с требованиями законодательства, нормативных актов Банка России и внутренних документов Регистратора.</w:t>
      </w:r>
    </w:p>
    <w:p w14:paraId="3441D208" w14:textId="60453F24" w:rsidR="006A49E6" w:rsidRPr="00A73734" w:rsidRDefault="006A49E6" w:rsidP="00FA5F07">
      <w:pPr>
        <w:pStyle w:val="2"/>
      </w:pPr>
      <w:r w:rsidRPr="00A73734">
        <w:t>Документы в электронном виде должны храниться совместно с данными сертификата ключа электронной подписи, применявшегося для их подписания.</w:t>
      </w:r>
    </w:p>
    <w:p w14:paraId="5C233E04" w14:textId="670C6E6F" w:rsidR="006A49E6" w:rsidRPr="00A73734" w:rsidRDefault="006A49E6" w:rsidP="00FA5F07">
      <w:pPr>
        <w:pStyle w:val="2"/>
        <w:rPr>
          <w:b/>
          <w:lang w:eastAsia="ru-RU"/>
        </w:rPr>
      </w:pPr>
      <w:r w:rsidRPr="00A73734">
        <w:rPr>
          <w:lang w:eastAsia="ru-RU"/>
        </w:rPr>
        <w:t>Регистратор должен хранить документы по зарегистрированному им выпуску акций, решение о регистрации которого аннулировано Регистратором в связи с неосуществлением в течение одного года государственной регистрации акционерного общества, до даты аннулирования такого решения.</w:t>
      </w:r>
    </w:p>
    <w:p w14:paraId="4F0F19BC" w14:textId="767A34DF" w:rsidR="006A49E6" w:rsidRPr="00A73734" w:rsidRDefault="006A49E6" w:rsidP="00FA5F07">
      <w:pPr>
        <w:pStyle w:val="2"/>
        <w:rPr>
          <w:b/>
          <w:lang w:eastAsia="ru-RU"/>
        </w:rPr>
      </w:pPr>
      <w:r w:rsidRPr="00A73734">
        <w:rPr>
          <w:lang w:eastAsia="ru-RU"/>
        </w:rPr>
        <w:lastRenderedPageBreak/>
        <w:t>В течение одного года после даты аннулирования Регистратором выпуска акций, связанного с неосуществлением в течение одного года государственной регистрации акционерного общества, Регистратор должен осуществить передачу оригинала решения о выпуске акций этого Эмитента и копии Договора с ним, на основании которого была осуществлена регистрация выпуска акций, в Банк России. Документы передаются в Банк России с сопроводительным письмом, в котором указывается информация о том, что документы представляются в Банк России в связи с аннулированием решения о регистрации выпуска акций.</w:t>
      </w:r>
    </w:p>
    <w:p w14:paraId="115B2BEC" w14:textId="7C49DB2D" w:rsidR="006A49E6" w:rsidRPr="00A73734" w:rsidRDefault="006A49E6" w:rsidP="00FA5F07">
      <w:pPr>
        <w:pStyle w:val="a2"/>
      </w:pPr>
      <w:r w:rsidRPr="00A73734">
        <w:t>Взаимодействие между Регистратором, зарегистрировавшим выпуск (дополнительный выпуск) акций, регистратором, осуществляющим ведение реестра, и эмитентом</w:t>
      </w:r>
    </w:p>
    <w:p w14:paraId="71B0C26A" w14:textId="371CA43D" w:rsidR="006A49E6" w:rsidRPr="00A73734" w:rsidRDefault="006A49E6" w:rsidP="00FA5F07">
      <w:pPr>
        <w:pStyle w:val="2"/>
        <w:rPr>
          <w:b/>
          <w:bCs/>
        </w:rPr>
      </w:pPr>
      <w:r w:rsidRPr="00A73734">
        <w:rPr>
          <w:lang w:eastAsia="ru-RU"/>
        </w:rPr>
        <w:t xml:space="preserve">Не позднее 3 (трех) рабочих дней с даты аннулирования регистрационного номера, присвоенного выпуску (дополнительному выпуску) акций, в соответствии со вступившим в законную силу решением суда о признании выпуска (дополнительного выпуска) акций недействительным, </w:t>
      </w:r>
      <w:r w:rsidRPr="00A73734">
        <w:rPr>
          <w:bCs/>
          <w:spacing w:val="2"/>
          <w:lang w:eastAsia="ru-RU"/>
        </w:rPr>
        <w:t>Регистратор, зарегистрировавший выпуск (дополнительный выпуск) акций, уведомляет об этом Эмитента и регистратора, осуществляющего ведение реестра владельцев ценных бумаг, путем направления уведомления об аннулировании регистрационного номера посредством системы электронного взаимодействия. При отсутствии возможности обмена документами в электронном виде уведомление об аннулировании регистрационного номера направляется почтовым отправлением либо предоставляется нарочно.</w:t>
      </w:r>
    </w:p>
    <w:p w14:paraId="76EFA323" w14:textId="77777777" w:rsidR="006A49E6" w:rsidRPr="007A77DF" w:rsidRDefault="006A49E6" w:rsidP="001936AA"/>
    <w:sectPr w:rsidR="006A49E6" w:rsidRPr="007A77DF" w:rsidSect="00872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6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4EC7" w14:textId="77777777" w:rsidR="002D7E32" w:rsidRDefault="002D7E32">
      <w:r>
        <w:separator/>
      </w:r>
    </w:p>
  </w:endnote>
  <w:endnote w:type="continuationSeparator" w:id="0">
    <w:p w14:paraId="330C6C0B" w14:textId="77777777" w:rsidR="002D7E32" w:rsidRDefault="002D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DEE5" w14:textId="77777777" w:rsidR="0068398F" w:rsidRDefault="0068398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81FA" w14:textId="5E5C7776" w:rsidR="00E45FAD" w:rsidRPr="00872111" w:rsidRDefault="00000000" w:rsidP="00872111">
    <w:pPr>
      <w:rPr>
        <w:color w:val="FF0000"/>
        <w:sz w:val="2"/>
        <w:szCs w:val="2"/>
      </w:rPr>
    </w:pPr>
    <w:r>
      <w:rPr>
        <w:noProof/>
        <w:color w:val="FF0000"/>
        <w:sz w:val="2"/>
        <w:szCs w:val="2"/>
      </w:rPr>
      <w:pict w14:anchorId="5C9C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-3.45pt;margin-top:-14.65pt;width:86.5pt;height:10.9pt;z-index:-1;visibility:visible;mso-wrap-style:square;mso-wrap-distance-left:9pt;mso-wrap-distance-top:0;mso-wrap-distance-right:9pt;mso-wrap-distance-bottom:0;mso-position-horizontal-relative:text;mso-position-vertical-relative:text" wrapcoords="-188 0 -188 20160 19534 20160 21600 17280 21600 4320 21037 0 -188 0">
          <v:imagedata r:id="rId1" o:title=""/>
          <w10:wrap type="t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0B42" w14:textId="0612AF33" w:rsidR="00E45FAD" w:rsidRDefault="00000000">
    <w:pPr>
      <w:pStyle w:val="af8"/>
    </w:pPr>
    <w:r>
      <w:rPr>
        <w:noProof/>
      </w:rPr>
      <w:pict w14:anchorId="5C9C8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37" type="#_x0000_t75" style="position:absolute;left:0;text-align:left;margin-left:-3.45pt;margin-top:9.25pt;width:86.5pt;height:10.9pt;z-index:-2;visibility:visible;mso-wrap-style:square;mso-wrap-distance-left:9pt;mso-wrap-distance-top:0;mso-wrap-distance-right:9pt;mso-wrap-distance-bottom:0;mso-position-horizontal-relative:text;mso-position-vertical-relative:text" wrapcoords="-188 0 -188 20160 19534 20160 21600 17280 21600 4320 21037 0 -188 0">
          <v:imagedata r:id="rId1" o:title=""/>
          <w10:wrap type="tight"/>
        </v:shape>
      </w:pict>
    </w:r>
    <w:r>
      <w:rPr>
        <w:noProof/>
      </w:rPr>
      <w:pict w14:anchorId="656B23A0">
        <v:shape id="_x0000_s1031" type="#_x0000_t75" style="position:absolute;left:0;text-align:left;margin-left:-.7pt;margin-top:784pt;width:600.05pt;height:57.1pt;z-index:-3;visibility:visible">
          <v:imagedata r:id="rId2" o:title=""/>
        </v:shape>
      </w:pict>
    </w:r>
    <w:r>
      <w:rPr>
        <w:noProof/>
      </w:rPr>
      <w:pict w14:anchorId="5A42A4AA">
        <v:shape id="_x0000_s1032" type="#_x0000_t75" style="position:absolute;left:0;text-align:left;margin-left:-.7pt;margin-top:784pt;width:600.05pt;height:57.1pt;z-index:-4;visibility:visible">
          <v:imagedata r:id="rId2" o:title=""/>
        </v:shape>
      </w:pict>
    </w:r>
    <w:r>
      <w:rPr>
        <w:noProof/>
      </w:rPr>
      <w:pict w14:anchorId="49B3EB0B">
        <v:shape id="_x0000_s1033" type="#_x0000_t75" style="position:absolute;left:0;text-align:left;margin-left:-.7pt;margin-top:784pt;width:600.05pt;height:57.1pt;z-index:-5;visibility:visible">
          <v:imagedata r:id="rId2" o:title=""/>
        </v:shape>
      </w:pict>
    </w:r>
    <w:r>
      <w:rPr>
        <w:noProof/>
      </w:rPr>
      <w:pict w14:anchorId="164CE44F">
        <v:shape id="_x0000_s1034" type="#_x0000_t75" style="position:absolute;left:0;text-align:left;margin-left:-.7pt;margin-top:784pt;width:600.05pt;height:57.1pt;z-index:-6;visibility:visible">
          <v:imagedata r:id="rId2" o:title=""/>
        </v:shape>
      </w:pict>
    </w:r>
    <w:r>
      <w:rPr>
        <w:noProof/>
      </w:rPr>
      <w:pict w14:anchorId="1EDF5FFA">
        <v:shape id="_x0000_s1035" type="#_x0000_t75" style="position:absolute;left:0;text-align:left;margin-left:-.7pt;margin-top:784pt;width:600.05pt;height:57.1pt;z-index:-7;visibility:visible">
          <v:imagedata r:id="rId2" o:title=""/>
        </v:shape>
      </w:pict>
    </w:r>
    <w:r>
      <w:rPr>
        <w:noProof/>
      </w:rPr>
      <w:pict w14:anchorId="7A71B2EA">
        <v:shape id="Рисунок 6" o:spid="_x0000_s1036" type="#_x0000_t75" style="position:absolute;left:0;text-align:left;margin-left:-.7pt;margin-top:784pt;width:600.05pt;height:57.1pt;z-index:-8;visibility:visibl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A3D6" w14:textId="77777777" w:rsidR="002D7E32" w:rsidRDefault="002D7E32">
      <w:r>
        <w:separator/>
      </w:r>
    </w:p>
  </w:footnote>
  <w:footnote w:type="continuationSeparator" w:id="0">
    <w:p w14:paraId="2510FE23" w14:textId="77777777" w:rsidR="002D7E32" w:rsidRDefault="002D7E32">
      <w:r>
        <w:continuationSeparator/>
      </w:r>
    </w:p>
  </w:footnote>
  <w:footnote w:id="1">
    <w:p w14:paraId="251F59DD" w14:textId="77777777" w:rsidR="006A49E6" w:rsidRPr="00600C26" w:rsidRDefault="006A49E6" w:rsidP="006A49E6">
      <w:pPr>
        <w:pStyle w:val="afd"/>
        <w:rPr>
          <w:rFonts w:ascii="Times New Roman" w:hAnsi="Times New Roman"/>
        </w:rPr>
      </w:pPr>
      <w:r>
        <w:rPr>
          <w:rStyle w:val="aff3"/>
        </w:rPr>
        <w:footnoteRef/>
      </w:r>
      <w:r>
        <w:t xml:space="preserve"> </w:t>
      </w:r>
      <w:r w:rsidRPr="00600C26">
        <w:rPr>
          <w:rFonts w:ascii="Times New Roman" w:hAnsi="Times New Roman"/>
        </w:rPr>
        <w:t>Стандарты, разработанные на основании статьи 5 Федерального закона от 13 июля 2015 года № 223-ФЗ «О саморегулируемых организациях в сфере финансового рынка».</w:t>
      </w:r>
    </w:p>
  </w:footnote>
  <w:footnote w:id="2">
    <w:p w14:paraId="3EC748C7" w14:textId="77777777" w:rsidR="006A49E6" w:rsidRPr="00690548" w:rsidRDefault="006A49E6" w:rsidP="006A49E6">
      <w:pPr>
        <w:pStyle w:val="afd"/>
      </w:pPr>
      <w:r w:rsidRPr="00690548">
        <w:rPr>
          <w:rStyle w:val="aff3"/>
        </w:rPr>
        <w:footnoteRef/>
      </w:r>
      <w:r w:rsidRPr="00690548">
        <w:t xml:space="preserve"> </w:t>
      </w:r>
      <w:r w:rsidRPr="00690548">
        <w:rPr>
          <w:rFonts w:ascii="Times New Roman" w:hAnsi="Times New Roman"/>
          <w:spacing w:val="2"/>
          <w:lang w:eastAsia="ru-RU"/>
        </w:rPr>
        <w:t>Положение Банка России от 19.12.2019 № 706-П «О стандартах эмиссии ценных бумаг»</w:t>
      </w:r>
      <w:r>
        <w:rPr>
          <w:rFonts w:ascii="Times New Roman" w:hAnsi="Times New Roman"/>
          <w:spacing w:val="2"/>
          <w:lang w:eastAsia="ru-RU"/>
        </w:rPr>
        <w:t>.</w:t>
      </w:r>
    </w:p>
  </w:footnote>
  <w:footnote w:id="3">
    <w:p w14:paraId="7E3FDDCB" w14:textId="77777777" w:rsidR="006A49E6" w:rsidRPr="00690548" w:rsidRDefault="006A49E6" w:rsidP="006A49E6">
      <w:pPr>
        <w:pStyle w:val="afd"/>
        <w:jc w:val="both"/>
        <w:rPr>
          <w:rFonts w:ascii="Times New Roman" w:hAnsi="Times New Roman"/>
        </w:rPr>
      </w:pPr>
      <w:r w:rsidRPr="00690548">
        <w:rPr>
          <w:rStyle w:val="aff3"/>
        </w:rPr>
        <w:footnoteRef/>
      </w:r>
      <w:r w:rsidRPr="006905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690548">
        <w:rPr>
          <w:rFonts w:ascii="Times New Roman" w:hAnsi="Times New Roman"/>
        </w:rPr>
        <w:t xml:space="preserve"> случае, если ранее у эмитента отсутствовали зарегистрированные выпуски акции размещаемой категории</w:t>
      </w:r>
      <w:r>
        <w:rPr>
          <w:rFonts w:ascii="Times New Roman" w:hAnsi="Times New Roman"/>
        </w:rPr>
        <w:t>.</w:t>
      </w:r>
    </w:p>
  </w:footnote>
  <w:footnote w:id="4">
    <w:p w14:paraId="732CBD56" w14:textId="77777777" w:rsidR="006A49E6" w:rsidRPr="00291FC5" w:rsidRDefault="006A49E6" w:rsidP="006A49E6">
      <w:pPr>
        <w:pStyle w:val="afd"/>
        <w:jc w:val="both"/>
        <w:rPr>
          <w:rFonts w:ascii="Times New Roman" w:hAnsi="Times New Roman"/>
          <w:i/>
        </w:rPr>
      </w:pPr>
      <w:r w:rsidRPr="00690548">
        <w:rPr>
          <w:rStyle w:val="aff3"/>
        </w:rPr>
        <w:footnoteRef/>
      </w:r>
      <w:r w:rsidRPr="006905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 w:rsidRPr="00690548">
        <w:rPr>
          <w:rFonts w:ascii="Times New Roman" w:hAnsi="Times New Roman"/>
        </w:rPr>
        <w:t xml:space="preserve"> исключением изменений в решение о выпуске ценных бумаг или документ, содержащий условия размещения ценных бумаг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22B3" w14:textId="77777777" w:rsidR="0068398F" w:rsidRDefault="0068398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554" w14:textId="7DAA039F" w:rsidR="00E45FAD" w:rsidRDefault="00E45FAD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12A1" w14:textId="77777777" w:rsidR="0068398F" w:rsidRDefault="006839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5885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6622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5D67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7BA8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CEB8E23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6" w15:restartNumberingAfterBreak="0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B754095"/>
    <w:multiLevelType w:val="hybridMultilevel"/>
    <w:tmpl w:val="51602588"/>
    <w:lvl w:ilvl="0" w:tplc="283A7CCE">
      <w:start w:val="1"/>
      <w:numFmt w:val="decimal"/>
      <w:pStyle w:val="a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11286BC7"/>
    <w:multiLevelType w:val="multilevel"/>
    <w:tmpl w:val="E8C2212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6" w15:restartNumberingAfterBreak="0">
    <w:nsid w:val="1B716657"/>
    <w:multiLevelType w:val="multilevel"/>
    <w:tmpl w:val="A6F23098"/>
    <w:lvl w:ilvl="0">
      <w:start w:val="1"/>
      <w:numFmt w:val="russianLower"/>
      <w:lvlText w:val="%1."/>
      <w:lvlJc w:val="left"/>
      <w:rPr>
        <w:rFonts w:cs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7" w15:restartNumberingAfterBreak="0">
    <w:nsid w:val="25056251"/>
    <w:multiLevelType w:val="hybridMultilevel"/>
    <w:tmpl w:val="53A2EE9E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8" w15:restartNumberingAfterBreak="0">
    <w:nsid w:val="264B413C"/>
    <w:multiLevelType w:val="hybridMultilevel"/>
    <w:tmpl w:val="322AC0AC"/>
    <w:lvl w:ilvl="0" w:tplc="33B4E090">
      <w:start w:val="1"/>
      <w:numFmt w:val="bullet"/>
      <w:pStyle w:val="a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9A9776F"/>
    <w:multiLevelType w:val="multilevel"/>
    <w:tmpl w:val="697068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2BE24635"/>
    <w:multiLevelType w:val="hybridMultilevel"/>
    <w:tmpl w:val="22A2FAD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2FDE2374"/>
    <w:multiLevelType w:val="hybridMultilevel"/>
    <w:tmpl w:val="A8F8D9C4"/>
    <w:lvl w:ilvl="0" w:tplc="2FFC4012">
      <w:start w:val="1"/>
      <w:numFmt w:val="russianLower"/>
      <w:pStyle w:val="a1"/>
      <w:lvlText w:val="%1)"/>
      <w:lvlJc w:val="left"/>
      <w:pPr>
        <w:ind w:left="927" w:hanging="360"/>
      </w:pPr>
      <w:rPr>
        <w:rFonts w:cs="Times New Roman" w:hint="default"/>
      </w:rPr>
    </w:lvl>
    <w:lvl w:ilvl="1" w:tplc="0C070003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C070005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19000B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C070003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C070005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C070003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C070005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2" w15:restartNumberingAfterBreak="0">
    <w:nsid w:val="37DF142E"/>
    <w:multiLevelType w:val="multilevel"/>
    <w:tmpl w:val="C5829E2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cs="Times New Roman" w:hint="default"/>
      </w:rPr>
    </w:lvl>
  </w:abstractNum>
  <w:abstractNum w:abstractNumId="23" w15:restartNumberingAfterBreak="0">
    <w:nsid w:val="389975F0"/>
    <w:multiLevelType w:val="multilevel"/>
    <w:tmpl w:val="B21C905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39C7579D"/>
    <w:multiLevelType w:val="multilevel"/>
    <w:tmpl w:val="D05E47B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496034BE"/>
    <w:multiLevelType w:val="hybridMultilevel"/>
    <w:tmpl w:val="1EE2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B289A"/>
    <w:multiLevelType w:val="multilevel"/>
    <w:tmpl w:val="6F904CD0"/>
    <w:lvl w:ilvl="0">
      <w:start w:val="1"/>
      <w:numFmt w:val="decimal"/>
      <w:pStyle w:val="a2"/>
      <w:lvlText w:val="Раздел %1."/>
      <w:lvlJc w:val="left"/>
      <w:pPr>
        <w:ind w:left="0" w:firstLine="0"/>
      </w:pPr>
      <w:rPr>
        <w:rFonts w:hint="default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254873"/>
    <w:multiLevelType w:val="hybridMultilevel"/>
    <w:tmpl w:val="6B1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E2B1A"/>
    <w:multiLevelType w:val="hybridMultilevel"/>
    <w:tmpl w:val="99EED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1337DE"/>
    <w:multiLevelType w:val="hybridMultilevel"/>
    <w:tmpl w:val="F02EA99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0" w15:restartNumberingAfterBreak="0">
    <w:nsid w:val="63383390"/>
    <w:multiLevelType w:val="multilevel"/>
    <w:tmpl w:val="D1E832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64F06B7"/>
    <w:multiLevelType w:val="multilevel"/>
    <w:tmpl w:val="7C5689A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32" w15:restartNumberingAfterBreak="0">
    <w:nsid w:val="7DE811EB"/>
    <w:multiLevelType w:val="multilevel"/>
    <w:tmpl w:val="21A87F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33" w15:restartNumberingAfterBreak="0">
    <w:nsid w:val="7F6E05ED"/>
    <w:multiLevelType w:val="multilevel"/>
    <w:tmpl w:val="076656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 w16cid:durableId="924219970">
    <w:abstractNumId w:val="4"/>
  </w:num>
  <w:num w:numId="2" w16cid:durableId="1755975498">
    <w:abstractNumId w:val="5"/>
  </w:num>
  <w:num w:numId="3" w16cid:durableId="313217384">
    <w:abstractNumId w:val="6"/>
  </w:num>
  <w:num w:numId="4" w16cid:durableId="2064714632">
    <w:abstractNumId w:val="7"/>
  </w:num>
  <w:num w:numId="5" w16cid:durableId="1079061622">
    <w:abstractNumId w:val="8"/>
  </w:num>
  <w:num w:numId="6" w16cid:durableId="204662">
    <w:abstractNumId w:val="9"/>
  </w:num>
  <w:num w:numId="7" w16cid:durableId="1950235465">
    <w:abstractNumId w:val="10"/>
  </w:num>
  <w:num w:numId="8" w16cid:durableId="186020043">
    <w:abstractNumId w:val="11"/>
  </w:num>
  <w:num w:numId="9" w16cid:durableId="919681357">
    <w:abstractNumId w:val="12"/>
  </w:num>
  <w:num w:numId="10" w16cid:durableId="1275795699">
    <w:abstractNumId w:val="13"/>
  </w:num>
  <w:num w:numId="11" w16cid:durableId="1209798172">
    <w:abstractNumId w:val="31"/>
  </w:num>
  <w:num w:numId="12" w16cid:durableId="1964849198">
    <w:abstractNumId w:val="24"/>
  </w:num>
  <w:num w:numId="13" w16cid:durableId="369382810">
    <w:abstractNumId w:val="32"/>
  </w:num>
  <w:num w:numId="14" w16cid:durableId="1926721891">
    <w:abstractNumId w:val="19"/>
  </w:num>
  <w:num w:numId="15" w16cid:durableId="867260131">
    <w:abstractNumId w:val="30"/>
  </w:num>
  <w:num w:numId="16" w16cid:durableId="247740277">
    <w:abstractNumId w:val="22"/>
  </w:num>
  <w:num w:numId="17" w16cid:durableId="1302463664">
    <w:abstractNumId w:val="16"/>
  </w:num>
  <w:num w:numId="18" w16cid:durableId="91513321">
    <w:abstractNumId w:val="28"/>
  </w:num>
  <w:num w:numId="19" w16cid:durableId="839124934">
    <w:abstractNumId w:val="15"/>
  </w:num>
  <w:num w:numId="20" w16cid:durableId="822042106">
    <w:abstractNumId w:val="29"/>
  </w:num>
  <w:num w:numId="21" w16cid:durableId="1259212643">
    <w:abstractNumId w:val="23"/>
  </w:num>
  <w:num w:numId="22" w16cid:durableId="1819417829">
    <w:abstractNumId w:val="33"/>
  </w:num>
  <w:num w:numId="23" w16cid:durableId="326784134">
    <w:abstractNumId w:val="3"/>
  </w:num>
  <w:num w:numId="24" w16cid:durableId="134882767">
    <w:abstractNumId w:val="26"/>
  </w:num>
  <w:num w:numId="25" w16cid:durableId="1489588812">
    <w:abstractNumId w:val="2"/>
  </w:num>
  <w:num w:numId="26" w16cid:durableId="344326688">
    <w:abstractNumId w:val="26"/>
  </w:num>
  <w:num w:numId="27" w16cid:durableId="389381143">
    <w:abstractNumId w:val="1"/>
  </w:num>
  <w:num w:numId="28" w16cid:durableId="1885675823">
    <w:abstractNumId w:val="26"/>
  </w:num>
  <w:num w:numId="29" w16cid:durableId="311831257">
    <w:abstractNumId w:val="0"/>
  </w:num>
  <w:num w:numId="30" w16cid:durableId="1708525564">
    <w:abstractNumId w:val="18"/>
  </w:num>
  <w:num w:numId="31" w16cid:durableId="1602908792">
    <w:abstractNumId w:val="21"/>
  </w:num>
  <w:num w:numId="32" w16cid:durableId="1922373289">
    <w:abstractNumId w:val="14"/>
  </w:num>
  <w:num w:numId="33" w16cid:durableId="1888106727">
    <w:abstractNumId w:val="26"/>
  </w:num>
  <w:num w:numId="34" w16cid:durableId="1419407851">
    <w:abstractNumId w:val="26"/>
  </w:num>
  <w:num w:numId="35" w16cid:durableId="389500051">
    <w:abstractNumId w:val="27"/>
  </w:num>
  <w:num w:numId="36" w16cid:durableId="1662542049">
    <w:abstractNumId w:val="17"/>
  </w:num>
  <w:num w:numId="37" w16cid:durableId="1715887487">
    <w:abstractNumId w:val="25"/>
  </w:num>
  <w:num w:numId="38" w16cid:durableId="484473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2F0"/>
    <w:rsid w:val="000234B5"/>
    <w:rsid w:val="00031E64"/>
    <w:rsid w:val="00044853"/>
    <w:rsid w:val="000514F4"/>
    <w:rsid w:val="00052F7D"/>
    <w:rsid w:val="00073EE0"/>
    <w:rsid w:val="00082717"/>
    <w:rsid w:val="00082E51"/>
    <w:rsid w:val="0008611F"/>
    <w:rsid w:val="00093A61"/>
    <w:rsid w:val="000A3016"/>
    <w:rsid w:val="000A49BF"/>
    <w:rsid w:val="000A5470"/>
    <w:rsid w:val="000C768F"/>
    <w:rsid w:val="000D3885"/>
    <w:rsid w:val="000D5402"/>
    <w:rsid w:val="000E12F9"/>
    <w:rsid w:val="000E32F0"/>
    <w:rsid w:val="000F6C09"/>
    <w:rsid w:val="001052EF"/>
    <w:rsid w:val="001065A0"/>
    <w:rsid w:val="001073FB"/>
    <w:rsid w:val="001143EE"/>
    <w:rsid w:val="001166F2"/>
    <w:rsid w:val="00121086"/>
    <w:rsid w:val="00172DA8"/>
    <w:rsid w:val="00173F18"/>
    <w:rsid w:val="00181598"/>
    <w:rsid w:val="00184C87"/>
    <w:rsid w:val="0019071F"/>
    <w:rsid w:val="001936AA"/>
    <w:rsid w:val="001A2B5A"/>
    <w:rsid w:val="001A747D"/>
    <w:rsid w:val="001B02A0"/>
    <w:rsid w:val="001B33A0"/>
    <w:rsid w:val="001B5F15"/>
    <w:rsid w:val="001C08D5"/>
    <w:rsid w:val="001E3E5E"/>
    <w:rsid w:val="001E61C4"/>
    <w:rsid w:val="00200B30"/>
    <w:rsid w:val="002127E8"/>
    <w:rsid w:val="002158E1"/>
    <w:rsid w:val="00223562"/>
    <w:rsid w:val="00223830"/>
    <w:rsid w:val="00224A5E"/>
    <w:rsid w:val="00235E64"/>
    <w:rsid w:val="00247541"/>
    <w:rsid w:val="00251A57"/>
    <w:rsid w:val="00262699"/>
    <w:rsid w:val="0026589C"/>
    <w:rsid w:val="00270D04"/>
    <w:rsid w:val="0027171F"/>
    <w:rsid w:val="00275BB7"/>
    <w:rsid w:val="00282C05"/>
    <w:rsid w:val="002871F9"/>
    <w:rsid w:val="002925A4"/>
    <w:rsid w:val="002A0B88"/>
    <w:rsid w:val="002B1042"/>
    <w:rsid w:val="002B13F7"/>
    <w:rsid w:val="002B3E6C"/>
    <w:rsid w:val="002C2497"/>
    <w:rsid w:val="002C2840"/>
    <w:rsid w:val="002C79D2"/>
    <w:rsid w:val="002D1442"/>
    <w:rsid w:val="002D21B0"/>
    <w:rsid w:val="002D476C"/>
    <w:rsid w:val="002D7E32"/>
    <w:rsid w:val="002F0600"/>
    <w:rsid w:val="002F4A2A"/>
    <w:rsid w:val="0030051C"/>
    <w:rsid w:val="00303B4C"/>
    <w:rsid w:val="003062C9"/>
    <w:rsid w:val="0031155C"/>
    <w:rsid w:val="003156E3"/>
    <w:rsid w:val="00315A0B"/>
    <w:rsid w:val="00330F0D"/>
    <w:rsid w:val="003316E4"/>
    <w:rsid w:val="00346147"/>
    <w:rsid w:val="003607AD"/>
    <w:rsid w:val="00364E37"/>
    <w:rsid w:val="00365A68"/>
    <w:rsid w:val="00375763"/>
    <w:rsid w:val="00382D4C"/>
    <w:rsid w:val="003863AC"/>
    <w:rsid w:val="00394CD9"/>
    <w:rsid w:val="003A4D84"/>
    <w:rsid w:val="003B2F39"/>
    <w:rsid w:val="003E1D0A"/>
    <w:rsid w:val="003E6770"/>
    <w:rsid w:val="003E69AA"/>
    <w:rsid w:val="003F0D9D"/>
    <w:rsid w:val="003F5D68"/>
    <w:rsid w:val="0040260A"/>
    <w:rsid w:val="00404EBB"/>
    <w:rsid w:val="00432348"/>
    <w:rsid w:val="00433F4D"/>
    <w:rsid w:val="00436370"/>
    <w:rsid w:val="00447875"/>
    <w:rsid w:val="0045580A"/>
    <w:rsid w:val="004676B9"/>
    <w:rsid w:val="00467895"/>
    <w:rsid w:val="00477D75"/>
    <w:rsid w:val="00481234"/>
    <w:rsid w:val="004841A0"/>
    <w:rsid w:val="00486DCA"/>
    <w:rsid w:val="004B7807"/>
    <w:rsid w:val="004C7F8F"/>
    <w:rsid w:val="004E2FD8"/>
    <w:rsid w:val="004E5B7C"/>
    <w:rsid w:val="004E5E51"/>
    <w:rsid w:val="004F2F32"/>
    <w:rsid w:val="00513132"/>
    <w:rsid w:val="005361A5"/>
    <w:rsid w:val="005651A0"/>
    <w:rsid w:val="00570E86"/>
    <w:rsid w:val="005723B0"/>
    <w:rsid w:val="00584E48"/>
    <w:rsid w:val="005A306E"/>
    <w:rsid w:val="005A5C43"/>
    <w:rsid w:val="005B0385"/>
    <w:rsid w:val="005C4B0F"/>
    <w:rsid w:val="005D3228"/>
    <w:rsid w:val="005D4B0D"/>
    <w:rsid w:val="005D7552"/>
    <w:rsid w:val="005D7C46"/>
    <w:rsid w:val="005F08EA"/>
    <w:rsid w:val="005F099D"/>
    <w:rsid w:val="005F4B18"/>
    <w:rsid w:val="005F6FE8"/>
    <w:rsid w:val="00600C0E"/>
    <w:rsid w:val="00602E6A"/>
    <w:rsid w:val="00607609"/>
    <w:rsid w:val="00626691"/>
    <w:rsid w:val="00630BA6"/>
    <w:rsid w:val="00631D7E"/>
    <w:rsid w:val="0063211A"/>
    <w:rsid w:val="00632C7C"/>
    <w:rsid w:val="00634AFD"/>
    <w:rsid w:val="006406A3"/>
    <w:rsid w:val="00647C05"/>
    <w:rsid w:val="006644FF"/>
    <w:rsid w:val="00666B3B"/>
    <w:rsid w:val="006706DF"/>
    <w:rsid w:val="006762DF"/>
    <w:rsid w:val="006770AD"/>
    <w:rsid w:val="0068398F"/>
    <w:rsid w:val="00690BFB"/>
    <w:rsid w:val="00693375"/>
    <w:rsid w:val="006A49E6"/>
    <w:rsid w:val="006C4EC8"/>
    <w:rsid w:val="006C5955"/>
    <w:rsid w:val="006E7341"/>
    <w:rsid w:val="006F3FC6"/>
    <w:rsid w:val="006F7D61"/>
    <w:rsid w:val="00701A71"/>
    <w:rsid w:val="00703D25"/>
    <w:rsid w:val="00703FFE"/>
    <w:rsid w:val="0070409B"/>
    <w:rsid w:val="00730D7A"/>
    <w:rsid w:val="00746DC5"/>
    <w:rsid w:val="00747DA8"/>
    <w:rsid w:val="00777229"/>
    <w:rsid w:val="007775C9"/>
    <w:rsid w:val="00785D76"/>
    <w:rsid w:val="007A34D7"/>
    <w:rsid w:val="007A6605"/>
    <w:rsid w:val="007A77DF"/>
    <w:rsid w:val="007B3C63"/>
    <w:rsid w:val="007B6ACF"/>
    <w:rsid w:val="00804919"/>
    <w:rsid w:val="008110EB"/>
    <w:rsid w:val="008229D5"/>
    <w:rsid w:val="008262EF"/>
    <w:rsid w:val="00833757"/>
    <w:rsid w:val="00851398"/>
    <w:rsid w:val="00857F9E"/>
    <w:rsid w:val="00867618"/>
    <w:rsid w:val="00872111"/>
    <w:rsid w:val="008729DE"/>
    <w:rsid w:val="00882C3E"/>
    <w:rsid w:val="00885D7B"/>
    <w:rsid w:val="008968EC"/>
    <w:rsid w:val="008A0E4E"/>
    <w:rsid w:val="008B268D"/>
    <w:rsid w:val="008B3E59"/>
    <w:rsid w:val="008C1B6C"/>
    <w:rsid w:val="008C73EE"/>
    <w:rsid w:val="008D0E08"/>
    <w:rsid w:val="008E4CEA"/>
    <w:rsid w:val="009022B0"/>
    <w:rsid w:val="0092113B"/>
    <w:rsid w:val="009254DA"/>
    <w:rsid w:val="00940BE6"/>
    <w:rsid w:val="0094395A"/>
    <w:rsid w:val="00950252"/>
    <w:rsid w:val="00965FCF"/>
    <w:rsid w:val="009675FC"/>
    <w:rsid w:val="009679C8"/>
    <w:rsid w:val="00973558"/>
    <w:rsid w:val="00975655"/>
    <w:rsid w:val="00976EE7"/>
    <w:rsid w:val="009918E3"/>
    <w:rsid w:val="00995646"/>
    <w:rsid w:val="009A003F"/>
    <w:rsid w:val="009A3DCB"/>
    <w:rsid w:val="009A64E2"/>
    <w:rsid w:val="009A6C8B"/>
    <w:rsid w:val="009C604A"/>
    <w:rsid w:val="009C7030"/>
    <w:rsid w:val="009D71EA"/>
    <w:rsid w:val="009F5044"/>
    <w:rsid w:val="00A10796"/>
    <w:rsid w:val="00A12578"/>
    <w:rsid w:val="00A23519"/>
    <w:rsid w:val="00A276C5"/>
    <w:rsid w:val="00A31082"/>
    <w:rsid w:val="00A54A3E"/>
    <w:rsid w:val="00A56FB2"/>
    <w:rsid w:val="00A60351"/>
    <w:rsid w:val="00A67DC5"/>
    <w:rsid w:val="00A75670"/>
    <w:rsid w:val="00A828A2"/>
    <w:rsid w:val="00A82F1C"/>
    <w:rsid w:val="00A83A82"/>
    <w:rsid w:val="00A84C66"/>
    <w:rsid w:val="00AA7A74"/>
    <w:rsid w:val="00AB5D74"/>
    <w:rsid w:val="00AC1D8C"/>
    <w:rsid w:val="00AC79B7"/>
    <w:rsid w:val="00AD06AE"/>
    <w:rsid w:val="00AE14B5"/>
    <w:rsid w:val="00AE219B"/>
    <w:rsid w:val="00B0111D"/>
    <w:rsid w:val="00B0191F"/>
    <w:rsid w:val="00B04ECE"/>
    <w:rsid w:val="00B33115"/>
    <w:rsid w:val="00B34F2F"/>
    <w:rsid w:val="00B52031"/>
    <w:rsid w:val="00B54541"/>
    <w:rsid w:val="00B60BD6"/>
    <w:rsid w:val="00B64C3B"/>
    <w:rsid w:val="00B82191"/>
    <w:rsid w:val="00BD1E74"/>
    <w:rsid w:val="00BD4A81"/>
    <w:rsid w:val="00BF0E57"/>
    <w:rsid w:val="00BF4D75"/>
    <w:rsid w:val="00C04548"/>
    <w:rsid w:val="00C1240B"/>
    <w:rsid w:val="00C16490"/>
    <w:rsid w:val="00C255F4"/>
    <w:rsid w:val="00C2659A"/>
    <w:rsid w:val="00C33607"/>
    <w:rsid w:val="00C35970"/>
    <w:rsid w:val="00C37CD5"/>
    <w:rsid w:val="00C56219"/>
    <w:rsid w:val="00C57C7F"/>
    <w:rsid w:val="00C65C22"/>
    <w:rsid w:val="00C7006C"/>
    <w:rsid w:val="00C83083"/>
    <w:rsid w:val="00C94B07"/>
    <w:rsid w:val="00C96497"/>
    <w:rsid w:val="00CA752C"/>
    <w:rsid w:val="00CC01CD"/>
    <w:rsid w:val="00CC03F1"/>
    <w:rsid w:val="00CC14BE"/>
    <w:rsid w:val="00CD67D0"/>
    <w:rsid w:val="00CE704F"/>
    <w:rsid w:val="00CF2F7B"/>
    <w:rsid w:val="00D0295B"/>
    <w:rsid w:val="00D313F2"/>
    <w:rsid w:val="00D44B39"/>
    <w:rsid w:val="00D44DDB"/>
    <w:rsid w:val="00D579E9"/>
    <w:rsid w:val="00D63765"/>
    <w:rsid w:val="00D743E6"/>
    <w:rsid w:val="00D75703"/>
    <w:rsid w:val="00D76B2E"/>
    <w:rsid w:val="00D77582"/>
    <w:rsid w:val="00DA3A35"/>
    <w:rsid w:val="00DB76BB"/>
    <w:rsid w:val="00DC0E4D"/>
    <w:rsid w:val="00DC231A"/>
    <w:rsid w:val="00DE1097"/>
    <w:rsid w:val="00DE6C92"/>
    <w:rsid w:val="00DF2783"/>
    <w:rsid w:val="00E056FF"/>
    <w:rsid w:val="00E065BA"/>
    <w:rsid w:val="00E10EBB"/>
    <w:rsid w:val="00E24A16"/>
    <w:rsid w:val="00E33260"/>
    <w:rsid w:val="00E34907"/>
    <w:rsid w:val="00E42F7F"/>
    <w:rsid w:val="00E45FAD"/>
    <w:rsid w:val="00E56B4B"/>
    <w:rsid w:val="00E6408D"/>
    <w:rsid w:val="00E67194"/>
    <w:rsid w:val="00E72EF7"/>
    <w:rsid w:val="00E801A0"/>
    <w:rsid w:val="00EB4164"/>
    <w:rsid w:val="00EB6EDF"/>
    <w:rsid w:val="00EC2FA0"/>
    <w:rsid w:val="00EC778D"/>
    <w:rsid w:val="00EE6EF8"/>
    <w:rsid w:val="00EE7F81"/>
    <w:rsid w:val="00EF1D4B"/>
    <w:rsid w:val="00EF71B5"/>
    <w:rsid w:val="00EF7347"/>
    <w:rsid w:val="00F0199C"/>
    <w:rsid w:val="00F02261"/>
    <w:rsid w:val="00F0278B"/>
    <w:rsid w:val="00F11061"/>
    <w:rsid w:val="00F11089"/>
    <w:rsid w:val="00F160C4"/>
    <w:rsid w:val="00F22548"/>
    <w:rsid w:val="00F26ECB"/>
    <w:rsid w:val="00F43F8E"/>
    <w:rsid w:val="00F46F51"/>
    <w:rsid w:val="00F543C4"/>
    <w:rsid w:val="00F7238C"/>
    <w:rsid w:val="00F740A7"/>
    <w:rsid w:val="00F77308"/>
    <w:rsid w:val="00F81F4D"/>
    <w:rsid w:val="00F82E67"/>
    <w:rsid w:val="00F96325"/>
    <w:rsid w:val="00F975BA"/>
    <w:rsid w:val="00FA5F07"/>
    <w:rsid w:val="00FA72DA"/>
    <w:rsid w:val="00FA74AE"/>
    <w:rsid w:val="00FB7268"/>
    <w:rsid w:val="00FD5CB3"/>
    <w:rsid w:val="00FE46AE"/>
    <w:rsid w:val="00FE775B"/>
    <w:rsid w:val="00FF2B21"/>
    <w:rsid w:val="00FF507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BBF6B"/>
  <w15:docId w15:val="{6FA86C43-FC70-43DC-AF1E-C7F9F429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 w:qFormat="1"/>
    <w:lsdException w:name="List Bullet 3" w:locked="1" w:semiHidden="1" w:unhideWhenUsed="1" w:qFormat="1"/>
    <w:lsdException w:name="List Bullet 4" w:locked="1" w:semiHidden="1" w:unhideWhenUs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804919"/>
    <w:pPr>
      <w:spacing w:line="360" w:lineRule="auto"/>
      <w:ind w:firstLine="567"/>
    </w:pPr>
    <w:rPr>
      <w:rFonts w:ascii="Times New Roman" w:eastAsia="Calibri" w:hAnsi="Times New Roman"/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8E4CEA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0">
    <w:name w:val="heading 2"/>
    <w:basedOn w:val="a3"/>
    <w:next w:val="a3"/>
    <w:link w:val="21"/>
    <w:qFormat/>
    <w:locked/>
    <w:rsid w:val="008E4C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locked/>
    <w:rsid w:val="008E4CEA"/>
    <w:pPr>
      <w:keepNext/>
      <w:spacing w:before="240" w:after="240"/>
      <w:contextualSpacing/>
      <w:outlineLvl w:val="2"/>
    </w:pPr>
    <w:rPr>
      <w:b/>
      <w:bCs/>
      <w:sz w:val="22"/>
      <w:szCs w:val="2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locked/>
    <w:rsid w:val="008E4CEA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paragraph" w:styleId="5">
    <w:name w:val="heading 5"/>
    <w:basedOn w:val="a3"/>
    <w:next w:val="a3"/>
    <w:link w:val="50"/>
    <w:uiPriority w:val="99"/>
    <w:qFormat/>
    <w:locked/>
    <w:rsid w:val="008E4CEA"/>
    <w:pPr>
      <w:keepNext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E4CEA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styleId="a7">
    <w:name w:val="Hyperlink"/>
    <w:uiPriority w:val="99"/>
    <w:unhideWhenUsed/>
    <w:rsid w:val="008E4CEA"/>
    <w:rPr>
      <w:color w:val="0563C1"/>
      <w:u w:val="single"/>
    </w:rPr>
  </w:style>
  <w:style w:type="character" w:customStyle="1" w:styleId="a8">
    <w:name w:val="Сноска_"/>
    <w:link w:val="a9"/>
    <w:uiPriority w:val="99"/>
    <w:locked/>
    <w:rsid w:val="00F26ECB"/>
    <w:rPr>
      <w:rFonts w:ascii="Times New Roman" w:hAnsi="Times New Roman" w:cs="Times New Roman"/>
      <w:i/>
      <w:iCs/>
      <w:sz w:val="19"/>
      <w:szCs w:val="19"/>
    </w:rPr>
  </w:style>
  <w:style w:type="character" w:customStyle="1" w:styleId="22">
    <w:name w:val="Основной текст (2)_"/>
    <w:link w:val="23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Заголовок №1_"/>
    <w:link w:val="12"/>
    <w:uiPriority w:val="99"/>
    <w:locked/>
    <w:rsid w:val="00F26ECB"/>
    <w:rPr>
      <w:rFonts w:ascii="Times New Roman" w:hAnsi="Times New Roman" w:cs="Times New Roman"/>
      <w:b/>
      <w:bCs/>
      <w:spacing w:val="0"/>
      <w:sz w:val="40"/>
      <w:szCs w:val="40"/>
    </w:rPr>
  </w:style>
  <w:style w:type="character" w:customStyle="1" w:styleId="24">
    <w:name w:val="Оглавление 2 Знак"/>
    <w:link w:val="25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26">
    <w:name w:val="Заголовок №2_"/>
    <w:link w:val="27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a">
    <w:name w:val="Колонтитул_"/>
    <w:link w:val="ab"/>
    <w:uiPriority w:val="99"/>
    <w:locked/>
    <w:rsid w:val="00F26ECB"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uiPriority w:val="99"/>
    <w:rsid w:val="00F26ECB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BodyTextChar">
    <w:name w:val="Body Text Char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ac">
    <w:name w:val="Основной текст + Полужирный"/>
    <w:uiPriority w:val="99"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">
    <w:name w:val="Основной текст + Полужирный6"/>
    <w:aliases w:val="Курсив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1">
    <w:name w:val="Основной текст + Полужирный5"/>
    <w:aliases w:val="Курсив5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41">
    <w:name w:val="Основной текст + Полужирный4"/>
    <w:aliases w:val="Курсив4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2">
    <w:name w:val="Основной текст + Полужирный3"/>
    <w:aliases w:val="Курсив3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8">
    <w:name w:val="Основной текст + Полужирный2"/>
    <w:aliases w:val="Курсив2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aliases w:val="Курсив1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3">
    <w:name w:val="Основной текст (3)_"/>
    <w:link w:val="34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0">
    <w:name w:val="Заголовок №2 (2)_"/>
    <w:link w:val="221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a9">
    <w:name w:val="Сноска"/>
    <w:basedOn w:val="a3"/>
    <w:link w:val="a8"/>
    <w:uiPriority w:val="99"/>
    <w:rsid w:val="00F26ECB"/>
    <w:pPr>
      <w:shd w:val="clear" w:color="auto" w:fill="FFFFFF"/>
      <w:spacing w:line="240" w:lineRule="atLeast"/>
    </w:pPr>
    <w:rPr>
      <w:i/>
      <w:iCs/>
      <w:sz w:val="19"/>
      <w:szCs w:val="19"/>
    </w:rPr>
  </w:style>
  <w:style w:type="paragraph" w:customStyle="1" w:styleId="23">
    <w:name w:val="Основной текст (2)"/>
    <w:basedOn w:val="a3"/>
    <w:link w:val="22"/>
    <w:uiPriority w:val="99"/>
    <w:rsid w:val="00F26ECB"/>
    <w:pPr>
      <w:shd w:val="clear" w:color="auto" w:fill="FFFFFF"/>
      <w:spacing w:before="360" w:after="3660" w:line="274" w:lineRule="exact"/>
    </w:pPr>
    <w:rPr>
      <w:b/>
      <w:bCs/>
      <w:sz w:val="23"/>
      <w:szCs w:val="23"/>
    </w:rPr>
  </w:style>
  <w:style w:type="paragraph" w:customStyle="1" w:styleId="12">
    <w:name w:val="Заголовок №1"/>
    <w:basedOn w:val="a3"/>
    <w:link w:val="11"/>
    <w:uiPriority w:val="99"/>
    <w:rsid w:val="00F26ECB"/>
    <w:pPr>
      <w:shd w:val="clear" w:color="auto" w:fill="FFFFFF"/>
      <w:spacing w:before="3660" w:after="720" w:line="240" w:lineRule="atLeast"/>
      <w:jc w:val="center"/>
      <w:outlineLvl w:val="0"/>
    </w:pPr>
    <w:rPr>
      <w:b/>
      <w:bCs/>
      <w:sz w:val="40"/>
      <w:szCs w:val="40"/>
    </w:rPr>
  </w:style>
  <w:style w:type="paragraph" w:styleId="25">
    <w:name w:val="toc 2"/>
    <w:basedOn w:val="a3"/>
    <w:next w:val="a3"/>
    <w:link w:val="24"/>
    <w:uiPriority w:val="39"/>
    <w:rsid w:val="00F26ECB"/>
    <w:pPr>
      <w:shd w:val="clear" w:color="auto" w:fill="FFFFFF"/>
      <w:spacing w:before="360" w:line="274" w:lineRule="exact"/>
    </w:pPr>
    <w:rPr>
      <w:sz w:val="23"/>
      <w:szCs w:val="23"/>
    </w:rPr>
  </w:style>
  <w:style w:type="paragraph" w:customStyle="1" w:styleId="27">
    <w:name w:val="Заголовок №2"/>
    <w:basedOn w:val="a3"/>
    <w:link w:val="26"/>
    <w:uiPriority w:val="99"/>
    <w:rsid w:val="00F26ECB"/>
    <w:pPr>
      <w:shd w:val="clear" w:color="auto" w:fill="FFFFFF"/>
      <w:spacing w:after="300" w:line="240" w:lineRule="atLeast"/>
      <w:ind w:hanging="260"/>
      <w:outlineLvl w:val="1"/>
    </w:pPr>
    <w:rPr>
      <w:b/>
      <w:bCs/>
      <w:sz w:val="23"/>
      <w:szCs w:val="23"/>
    </w:rPr>
  </w:style>
  <w:style w:type="paragraph" w:customStyle="1" w:styleId="ab">
    <w:name w:val="Колонтитул"/>
    <w:basedOn w:val="a3"/>
    <w:link w:val="aa"/>
    <w:uiPriority w:val="99"/>
    <w:rsid w:val="00F26ECB"/>
    <w:pPr>
      <w:shd w:val="clear" w:color="auto" w:fill="FFFFFF"/>
    </w:pPr>
    <w:rPr>
      <w:noProof/>
      <w:sz w:val="20"/>
      <w:szCs w:val="20"/>
    </w:rPr>
  </w:style>
  <w:style w:type="paragraph" w:styleId="ad">
    <w:name w:val="Body Text"/>
    <w:basedOn w:val="a3"/>
    <w:link w:val="14"/>
    <w:uiPriority w:val="99"/>
    <w:rsid w:val="00F26ECB"/>
    <w:pPr>
      <w:shd w:val="clear" w:color="auto" w:fill="FFFFFF"/>
      <w:spacing w:before="300" w:line="278" w:lineRule="exact"/>
      <w:ind w:hanging="480"/>
    </w:pPr>
    <w:rPr>
      <w:sz w:val="23"/>
      <w:szCs w:val="23"/>
    </w:rPr>
  </w:style>
  <w:style w:type="character" w:customStyle="1" w:styleId="14">
    <w:name w:val="Основной текст Знак1"/>
    <w:link w:val="ad"/>
    <w:uiPriority w:val="99"/>
    <w:semiHidden/>
    <w:locked/>
    <w:rPr>
      <w:rFonts w:cs="Arial Unicode MS"/>
      <w:color w:val="000000"/>
      <w:sz w:val="24"/>
      <w:szCs w:val="24"/>
    </w:rPr>
  </w:style>
  <w:style w:type="character" w:customStyle="1" w:styleId="ae">
    <w:name w:val="Основной текст Знак"/>
    <w:uiPriority w:val="99"/>
    <w:semiHidden/>
    <w:rsid w:val="00F26ECB"/>
    <w:rPr>
      <w:rFonts w:cs="Arial Unicode MS"/>
      <w:color w:val="000000"/>
    </w:rPr>
  </w:style>
  <w:style w:type="character" w:customStyle="1" w:styleId="250">
    <w:name w:val="Основной текст Знак25"/>
    <w:uiPriority w:val="99"/>
    <w:semiHidden/>
    <w:rsid w:val="00F26ECB"/>
    <w:rPr>
      <w:rFonts w:cs="Arial Unicode MS"/>
      <w:color w:val="000000"/>
    </w:rPr>
  </w:style>
  <w:style w:type="character" w:customStyle="1" w:styleId="240">
    <w:name w:val="Основной текст Знак24"/>
    <w:uiPriority w:val="99"/>
    <w:semiHidden/>
    <w:rsid w:val="00F26ECB"/>
    <w:rPr>
      <w:rFonts w:cs="Arial Unicode MS"/>
      <w:color w:val="000000"/>
    </w:rPr>
  </w:style>
  <w:style w:type="character" w:customStyle="1" w:styleId="230">
    <w:name w:val="Основной текст Знак23"/>
    <w:uiPriority w:val="99"/>
    <w:semiHidden/>
    <w:rsid w:val="00F26ECB"/>
    <w:rPr>
      <w:rFonts w:cs="Arial Unicode MS"/>
      <w:color w:val="000000"/>
    </w:rPr>
  </w:style>
  <w:style w:type="character" w:customStyle="1" w:styleId="222">
    <w:name w:val="Основной текст Знак22"/>
    <w:uiPriority w:val="99"/>
    <w:semiHidden/>
    <w:rsid w:val="00F26ECB"/>
    <w:rPr>
      <w:rFonts w:cs="Arial Unicode MS"/>
      <w:color w:val="000000"/>
    </w:rPr>
  </w:style>
  <w:style w:type="character" w:customStyle="1" w:styleId="210">
    <w:name w:val="Основной текст Знак21"/>
    <w:uiPriority w:val="99"/>
    <w:semiHidden/>
    <w:rsid w:val="00F26ECB"/>
    <w:rPr>
      <w:rFonts w:cs="Arial Unicode MS"/>
      <w:color w:val="000000"/>
    </w:rPr>
  </w:style>
  <w:style w:type="character" w:customStyle="1" w:styleId="200">
    <w:name w:val="Основной текст Знак20"/>
    <w:uiPriority w:val="99"/>
    <w:semiHidden/>
    <w:rsid w:val="00F26ECB"/>
    <w:rPr>
      <w:rFonts w:cs="Arial Unicode MS"/>
      <w:color w:val="000000"/>
    </w:rPr>
  </w:style>
  <w:style w:type="character" w:customStyle="1" w:styleId="19">
    <w:name w:val="Основной текст Знак19"/>
    <w:uiPriority w:val="99"/>
    <w:semiHidden/>
    <w:rsid w:val="00F26ECB"/>
    <w:rPr>
      <w:rFonts w:cs="Arial Unicode MS"/>
      <w:color w:val="000000"/>
    </w:rPr>
  </w:style>
  <w:style w:type="character" w:customStyle="1" w:styleId="18">
    <w:name w:val="Основной текст Знак18"/>
    <w:uiPriority w:val="99"/>
    <w:semiHidden/>
    <w:rsid w:val="00F26ECB"/>
    <w:rPr>
      <w:rFonts w:cs="Arial Unicode MS"/>
      <w:color w:val="000000"/>
    </w:rPr>
  </w:style>
  <w:style w:type="character" w:customStyle="1" w:styleId="17">
    <w:name w:val="Основной текст Знак17"/>
    <w:uiPriority w:val="99"/>
    <w:semiHidden/>
    <w:rsid w:val="00F26ECB"/>
    <w:rPr>
      <w:rFonts w:cs="Arial Unicode MS"/>
      <w:color w:val="000000"/>
    </w:rPr>
  </w:style>
  <w:style w:type="character" w:customStyle="1" w:styleId="16">
    <w:name w:val="Основной текст Знак16"/>
    <w:uiPriority w:val="99"/>
    <w:semiHidden/>
    <w:rsid w:val="00F26ECB"/>
    <w:rPr>
      <w:rFonts w:cs="Arial Unicode MS"/>
      <w:color w:val="000000"/>
    </w:rPr>
  </w:style>
  <w:style w:type="character" w:customStyle="1" w:styleId="15">
    <w:name w:val="Основной текст Знак15"/>
    <w:uiPriority w:val="99"/>
    <w:semiHidden/>
    <w:rsid w:val="00F26ECB"/>
    <w:rPr>
      <w:rFonts w:cs="Arial Unicode MS"/>
      <w:color w:val="000000"/>
    </w:rPr>
  </w:style>
  <w:style w:type="character" w:customStyle="1" w:styleId="140">
    <w:name w:val="Основной текст Знак14"/>
    <w:uiPriority w:val="99"/>
    <w:semiHidden/>
    <w:rsid w:val="00F26ECB"/>
    <w:rPr>
      <w:rFonts w:cs="Arial Unicode MS"/>
      <w:color w:val="000000"/>
    </w:rPr>
  </w:style>
  <w:style w:type="character" w:customStyle="1" w:styleId="130">
    <w:name w:val="Основной текст Знак13"/>
    <w:uiPriority w:val="99"/>
    <w:semiHidden/>
    <w:rsid w:val="00F26ECB"/>
    <w:rPr>
      <w:rFonts w:cs="Arial Unicode MS"/>
      <w:color w:val="000000"/>
    </w:rPr>
  </w:style>
  <w:style w:type="character" w:customStyle="1" w:styleId="120">
    <w:name w:val="Основной текст Знак12"/>
    <w:uiPriority w:val="99"/>
    <w:semiHidden/>
    <w:rsid w:val="00F26ECB"/>
    <w:rPr>
      <w:rFonts w:cs="Arial Unicode MS"/>
      <w:color w:val="000000"/>
    </w:rPr>
  </w:style>
  <w:style w:type="character" w:customStyle="1" w:styleId="111">
    <w:name w:val="Основной текст Знак11"/>
    <w:uiPriority w:val="99"/>
    <w:semiHidden/>
    <w:rsid w:val="00F26ECB"/>
    <w:rPr>
      <w:rFonts w:cs="Arial Unicode MS"/>
      <w:color w:val="000000"/>
    </w:rPr>
  </w:style>
  <w:style w:type="character" w:customStyle="1" w:styleId="100">
    <w:name w:val="Основной текст Знак10"/>
    <w:uiPriority w:val="99"/>
    <w:semiHidden/>
    <w:rsid w:val="00F26ECB"/>
    <w:rPr>
      <w:rFonts w:cs="Arial Unicode MS"/>
      <w:color w:val="000000"/>
    </w:rPr>
  </w:style>
  <w:style w:type="character" w:customStyle="1" w:styleId="9">
    <w:name w:val="Основной текст Знак9"/>
    <w:uiPriority w:val="99"/>
    <w:semiHidden/>
    <w:rsid w:val="00F26ECB"/>
    <w:rPr>
      <w:rFonts w:cs="Arial Unicode MS"/>
      <w:color w:val="000000"/>
    </w:rPr>
  </w:style>
  <w:style w:type="character" w:customStyle="1" w:styleId="8">
    <w:name w:val="Основной текст Знак8"/>
    <w:uiPriority w:val="99"/>
    <w:semiHidden/>
    <w:rsid w:val="00F26ECB"/>
    <w:rPr>
      <w:rFonts w:cs="Arial Unicode MS"/>
      <w:color w:val="000000"/>
    </w:rPr>
  </w:style>
  <w:style w:type="character" w:customStyle="1" w:styleId="7">
    <w:name w:val="Основной текст Знак7"/>
    <w:uiPriority w:val="99"/>
    <w:semiHidden/>
    <w:rsid w:val="00F26ECB"/>
    <w:rPr>
      <w:rFonts w:cs="Arial Unicode MS"/>
      <w:color w:val="000000"/>
    </w:rPr>
  </w:style>
  <w:style w:type="character" w:customStyle="1" w:styleId="60">
    <w:name w:val="Основной текст Знак6"/>
    <w:uiPriority w:val="99"/>
    <w:semiHidden/>
    <w:rsid w:val="00F26ECB"/>
    <w:rPr>
      <w:rFonts w:cs="Arial Unicode MS"/>
      <w:color w:val="000000"/>
    </w:rPr>
  </w:style>
  <w:style w:type="character" w:customStyle="1" w:styleId="52">
    <w:name w:val="Основной текст Знак5"/>
    <w:uiPriority w:val="99"/>
    <w:semiHidden/>
    <w:rsid w:val="00F26ECB"/>
    <w:rPr>
      <w:rFonts w:cs="Arial Unicode MS"/>
      <w:color w:val="000000"/>
    </w:rPr>
  </w:style>
  <w:style w:type="character" w:customStyle="1" w:styleId="42">
    <w:name w:val="Основной текст Знак4"/>
    <w:uiPriority w:val="99"/>
    <w:semiHidden/>
    <w:rsid w:val="00F26ECB"/>
    <w:rPr>
      <w:rFonts w:cs="Arial Unicode MS"/>
      <w:color w:val="000000"/>
    </w:rPr>
  </w:style>
  <w:style w:type="character" w:customStyle="1" w:styleId="35">
    <w:name w:val="Основной текст Знак3"/>
    <w:uiPriority w:val="99"/>
    <w:semiHidden/>
    <w:rsid w:val="00F26ECB"/>
    <w:rPr>
      <w:rFonts w:cs="Arial Unicode MS"/>
      <w:color w:val="000000"/>
    </w:rPr>
  </w:style>
  <w:style w:type="character" w:customStyle="1" w:styleId="29">
    <w:name w:val="Основной текст Знак2"/>
    <w:uiPriority w:val="99"/>
    <w:semiHidden/>
    <w:rsid w:val="00F26ECB"/>
    <w:rPr>
      <w:rFonts w:cs="Arial Unicode MS"/>
      <w:color w:val="000000"/>
    </w:rPr>
  </w:style>
  <w:style w:type="paragraph" w:customStyle="1" w:styleId="34">
    <w:name w:val="Основной текст (3)"/>
    <w:basedOn w:val="a3"/>
    <w:link w:val="33"/>
    <w:uiPriority w:val="99"/>
    <w:rsid w:val="00F26ECB"/>
    <w:pPr>
      <w:shd w:val="clear" w:color="auto" w:fill="FFFFFF"/>
      <w:spacing w:before="240" w:after="360" w:line="240" w:lineRule="atLeast"/>
      <w:ind w:firstLine="28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3"/>
    <w:link w:val="220"/>
    <w:uiPriority w:val="99"/>
    <w:rsid w:val="00F26ECB"/>
    <w:pPr>
      <w:shd w:val="clear" w:color="auto" w:fill="FFFFFF"/>
      <w:spacing w:before="240" w:after="360" w:line="240" w:lineRule="atLeast"/>
      <w:ind w:firstLine="280"/>
      <w:outlineLvl w:val="1"/>
    </w:pPr>
    <w:rPr>
      <w:b/>
      <w:bCs/>
      <w:i/>
      <w:iCs/>
      <w:sz w:val="23"/>
      <w:szCs w:val="23"/>
    </w:rPr>
  </w:style>
  <w:style w:type="paragraph" w:styleId="af">
    <w:name w:val="Balloon Text"/>
    <w:basedOn w:val="a3"/>
    <w:link w:val="af0"/>
    <w:uiPriority w:val="99"/>
    <w:semiHidden/>
    <w:rsid w:val="00394CD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394CD9"/>
    <w:rPr>
      <w:rFonts w:ascii="Segoe UI" w:hAnsi="Segoe UI" w:cs="Segoe UI"/>
      <w:color w:val="000000"/>
      <w:sz w:val="18"/>
      <w:szCs w:val="18"/>
    </w:rPr>
  </w:style>
  <w:style w:type="character" w:styleId="af1">
    <w:name w:val="annotation reference"/>
    <w:uiPriority w:val="99"/>
    <w:semiHidden/>
    <w:rsid w:val="000A5470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0A5470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0A5470"/>
    <w:rPr>
      <w:rFonts w:cs="Arial Unicode MS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A547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0A5470"/>
    <w:rPr>
      <w:rFonts w:cs="Arial Unicode MS"/>
      <w:b/>
      <w:bCs/>
      <w:color w:val="000000"/>
      <w:sz w:val="20"/>
      <w:szCs w:val="20"/>
    </w:rPr>
  </w:style>
  <w:style w:type="paragraph" w:styleId="1a">
    <w:name w:val="toc 1"/>
    <w:basedOn w:val="a3"/>
    <w:next w:val="a3"/>
    <w:autoRedefine/>
    <w:uiPriority w:val="39"/>
    <w:unhideWhenUsed/>
    <w:rsid w:val="008E4CEA"/>
    <w:pPr>
      <w:spacing w:after="100"/>
    </w:pPr>
  </w:style>
  <w:style w:type="paragraph" w:styleId="af6">
    <w:name w:val="header"/>
    <w:basedOn w:val="a3"/>
    <w:link w:val="af7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6C4EC8"/>
    <w:rPr>
      <w:rFonts w:cs="Arial Unicode MS"/>
      <w:color w:val="000000"/>
    </w:rPr>
  </w:style>
  <w:style w:type="paragraph" w:styleId="af8">
    <w:name w:val="footer"/>
    <w:basedOn w:val="a3"/>
    <w:link w:val="af9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6C4EC8"/>
    <w:rPr>
      <w:rFonts w:cs="Arial Unicode MS"/>
      <w:color w:val="000000"/>
    </w:rPr>
  </w:style>
  <w:style w:type="paragraph" w:styleId="afa">
    <w:name w:val="TOC Heading"/>
    <w:basedOn w:val="1"/>
    <w:next w:val="a3"/>
    <w:uiPriority w:val="39"/>
    <w:qFormat/>
    <w:rsid w:val="006C4EC8"/>
    <w:pPr>
      <w:outlineLvl w:val="9"/>
    </w:pPr>
  </w:style>
  <w:style w:type="paragraph" w:styleId="afb">
    <w:name w:val="Title"/>
    <w:basedOn w:val="a3"/>
    <w:next w:val="a3"/>
    <w:link w:val="afc"/>
    <w:uiPriority w:val="99"/>
    <w:qFormat/>
    <w:rsid w:val="006C4EC8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6C4EC8"/>
    <w:rPr>
      <w:rFonts w:ascii="Calibri Light" w:hAnsi="Calibri Light" w:cs="Calibri Light"/>
      <w:b/>
      <w:bCs/>
      <w:kern w:val="28"/>
      <w:sz w:val="32"/>
      <w:szCs w:val="32"/>
      <w:lang w:eastAsia="en-US"/>
    </w:rPr>
  </w:style>
  <w:style w:type="paragraph" w:styleId="afd">
    <w:name w:val="footnote text"/>
    <w:basedOn w:val="a3"/>
    <w:link w:val="afe"/>
    <w:unhideWhenUsed/>
    <w:rsid w:val="008E4CEA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afe">
    <w:name w:val="Текст сноски Знак"/>
    <w:link w:val="afd"/>
    <w:locked/>
    <w:rsid w:val="008E4CEA"/>
    <w:rPr>
      <w:rFonts w:ascii="Calibri" w:eastAsia="Calibri" w:hAnsi="Calibri"/>
      <w:lang w:eastAsia="en-US"/>
    </w:rPr>
  </w:style>
  <w:style w:type="paragraph" w:customStyle="1" w:styleId="TimeNewRoman">
    <w:name w:val="Time New Roman"/>
    <w:basedOn w:val="a3"/>
    <w:uiPriority w:val="99"/>
    <w:rsid w:val="006C4EC8"/>
    <w:pPr>
      <w:spacing w:line="312" w:lineRule="auto"/>
    </w:pPr>
    <w:rPr>
      <w:noProof/>
    </w:rPr>
  </w:style>
  <w:style w:type="paragraph" w:styleId="aff">
    <w:name w:val="Revision"/>
    <w:hidden/>
    <w:uiPriority w:val="99"/>
    <w:semiHidden/>
    <w:rsid w:val="00A31082"/>
    <w:rPr>
      <w:rFonts w:cs="Arial Unicode MS"/>
      <w:color w:val="000000"/>
      <w:sz w:val="24"/>
      <w:szCs w:val="24"/>
    </w:rPr>
  </w:style>
  <w:style w:type="paragraph" w:styleId="aff0">
    <w:name w:val="List Paragraph"/>
    <w:basedOn w:val="a3"/>
    <w:link w:val="aff1"/>
    <w:uiPriority w:val="34"/>
    <w:qFormat/>
    <w:rsid w:val="008E4CE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f1">
    <w:name w:val="Абзац списка Знак"/>
    <w:link w:val="aff0"/>
    <w:uiPriority w:val="34"/>
    <w:rsid w:val="008E4CEA"/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sid w:val="008E4CEA"/>
    <w:pPr>
      <w:ind w:firstLine="567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1">
    <w:name w:val="Заголовок 2 Знак"/>
    <w:link w:val="20"/>
    <w:rsid w:val="008E4CEA"/>
    <w:rPr>
      <w:rFonts w:ascii="Cambria" w:eastAsia="Calibri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link w:val="30"/>
    <w:rsid w:val="008E4CEA"/>
    <w:rPr>
      <w:rFonts w:ascii="Times New Roman" w:eastAsia="Calibri" w:hAnsi="Times New Roman"/>
      <w:b/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8E4CEA"/>
    <w:rPr>
      <w:rFonts w:ascii="Calibri Light" w:eastAsia="Times New Roman" w:hAnsi="Calibri Light"/>
      <w:b/>
      <w:bCs/>
      <w:i/>
      <w:iCs/>
      <w:color w:val="4472C4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rsid w:val="008E4CEA"/>
    <w:rPr>
      <w:rFonts w:ascii="Times New Roman" w:eastAsia="Calibri" w:hAnsi="Times New Roman"/>
      <w:b/>
      <w:bCs/>
      <w:sz w:val="28"/>
      <w:szCs w:val="28"/>
      <w:lang w:eastAsia="en-US"/>
    </w:rPr>
  </w:style>
  <w:style w:type="character" w:styleId="aff3">
    <w:name w:val="footnote reference"/>
    <w:semiHidden/>
    <w:unhideWhenUsed/>
    <w:locked/>
    <w:rsid w:val="008E4CEA"/>
    <w:rPr>
      <w:vertAlign w:val="superscript"/>
    </w:rPr>
  </w:style>
  <w:style w:type="paragraph" w:styleId="a2">
    <w:name w:val="List Bullet"/>
    <w:basedOn w:val="a3"/>
    <w:uiPriority w:val="99"/>
    <w:qFormat/>
    <w:locked/>
    <w:rsid w:val="006A49E6"/>
    <w:pPr>
      <w:numPr>
        <w:numId w:val="28"/>
      </w:numPr>
      <w:tabs>
        <w:tab w:val="center" w:pos="170"/>
        <w:tab w:val="left" w:pos="851"/>
        <w:tab w:val="left" w:pos="1535"/>
      </w:tabs>
      <w:spacing w:before="240" w:after="120" w:line="240" w:lineRule="auto"/>
    </w:pPr>
    <w:rPr>
      <w:b/>
    </w:rPr>
  </w:style>
  <w:style w:type="paragraph" w:styleId="2">
    <w:name w:val="List Bullet 2"/>
    <w:basedOn w:val="a3"/>
    <w:uiPriority w:val="99"/>
    <w:qFormat/>
    <w:locked/>
    <w:rsid w:val="006A49E6"/>
    <w:pPr>
      <w:numPr>
        <w:ilvl w:val="1"/>
        <w:numId w:val="28"/>
      </w:numPr>
      <w:tabs>
        <w:tab w:val="left" w:pos="851"/>
        <w:tab w:val="left" w:pos="1535"/>
      </w:tabs>
    </w:pPr>
  </w:style>
  <w:style w:type="paragraph" w:styleId="3">
    <w:name w:val="List Bullet 3"/>
    <w:basedOn w:val="a3"/>
    <w:uiPriority w:val="99"/>
    <w:qFormat/>
    <w:locked/>
    <w:rsid w:val="008E4CEA"/>
    <w:pPr>
      <w:numPr>
        <w:ilvl w:val="2"/>
        <w:numId w:val="28"/>
      </w:numPr>
      <w:tabs>
        <w:tab w:val="left" w:pos="851"/>
        <w:tab w:val="left" w:pos="1535"/>
      </w:tabs>
    </w:pPr>
  </w:style>
  <w:style w:type="paragraph" w:styleId="43">
    <w:name w:val="List Bullet 4"/>
    <w:basedOn w:val="a3"/>
    <w:uiPriority w:val="99"/>
    <w:qFormat/>
    <w:locked/>
    <w:rsid w:val="008E4CEA"/>
    <w:pPr>
      <w:numPr>
        <w:ilvl w:val="3"/>
      </w:numPr>
      <w:ind w:firstLine="567"/>
    </w:pPr>
  </w:style>
  <w:style w:type="paragraph" w:customStyle="1" w:styleId="aff4">
    <w:name w:val="НФА Вправо"/>
    <w:basedOn w:val="a3"/>
    <w:autoRedefine/>
    <w:rsid w:val="008E4CEA"/>
    <w:pPr>
      <w:jc w:val="right"/>
    </w:pPr>
    <w:rPr>
      <w:b/>
    </w:rPr>
  </w:style>
  <w:style w:type="paragraph" w:customStyle="1" w:styleId="1b">
    <w:name w:val="НФА Заголовок 1"/>
    <w:basedOn w:val="1"/>
    <w:autoRedefine/>
    <w:rsid w:val="008E4CEA"/>
    <w:pPr>
      <w:spacing w:after="240"/>
      <w:jc w:val="center"/>
    </w:pPr>
    <w:rPr>
      <w:rFonts w:ascii="Times New Roman" w:eastAsia="Calibri" w:hAnsi="Times New Roman"/>
      <w:b/>
      <w:color w:val="auto"/>
      <w:sz w:val="24"/>
      <w:lang w:eastAsia="ru-RU"/>
    </w:rPr>
  </w:style>
  <w:style w:type="paragraph" w:customStyle="1" w:styleId="aff5">
    <w:name w:val="НФА Нумерованный"/>
    <w:basedOn w:val="a3"/>
    <w:autoRedefine/>
    <w:rsid w:val="008E4CEA"/>
  </w:style>
  <w:style w:type="paragraph" w:customStyle="1" w:styleId="aff6">
    <w:name w:val="НФА Обычный"/>
    <w:basedOn w:val="a3"/>
    <w:autoRedefine/>
    <w:rsid w:val="008E4CEA"/>
  </w:style>
  <w:style w:type="paragraph" w:customStyle="1" w:styleId="a0">
    <w:name w:val="НФА Список"/>
    <w:basedOn w:val="a3"/>
    <w:autoRedefine/>
    <w:qFormat/>
    <w:rsid w:val="008E4CEA"/>
    <w:pPr>
      <w:numPr>
        <w:numId w:val="30"/>
      </w:numPr>
      <w:tabs>
        <w:tab w:val="right" w:leader="dot" w:pos="284"/>
        <w:tab w:val="num" w:leader="heavy" w:pos="567"/>
      </w:tabs>
    </w:pPr>
  </w:style>
  <w:style w:type="paragraph" w:customStyle="1" w:styleId="a1">
    <w:name w:val="НФА Список (буквы)"/>
    <w:basedOn w:val="a3"/>
    <w:autoRedefine/>
    <w:rsid w:val="008E4CEA"/>
    <w:pPr>
      <w:numPr>
        <w:numId w:val="31"/>
      </w:numPr>
      <w:tabs>
        <w:tab w:val="right" w:leader="dot" w:pos="1276"/>
        <w:tab w:val="num" w:leader="heavy" w:pos="1440"/>
      </w:tabs>
    </w:pPr>
  </w:style>
  <w:style w:type="paragraph" w:customStyle="1" w:styleId="a">
    <w:name w:val="НФА Список (цифры)"/>
    <w:basedOn w:val="a1"/>
    <w:qFormat/>
    <w:rsid w:val="008E4CEA"/>
    <w:pPr>
      <w:widowControl w:val="0"/>
      <w:numPr>
        <w:numId w:val="32"/>
      </w:numPr>
      <w:tabs>
        <w:tab w:val="clear" w:pos="1276"/>
        <w:tab w:val="right" w:pos="567"/>
      </w:tabs>
      <w:autoSpaceDE w:val="0"/>
      <w:autoSpaceDN w:val="0"/>
    </w:pPr>
  </w:style>
  <w:style w:type="paragraph" w:customStyle="1" w:styleId="aff7">
    <w:name w:val="НФААдресат"/>
    <w:basedOn w:val="a3"/>
    <w:qFormat/>
    <w:rsid w:val="008E4CEA"/>
    <w:pPr>
      <w:spacing w:line="240" w:lineRule="auto"/>
      <w:ind w:left="4253" w:firstLine="0"/>
    </w:pPr>
  </w:style>
  <w:style w:type="paragraph" w:customStyle="1" w:styleId="aff8">
    <w:name w:val="НФАИсхно"/>
    <w:basedOn w:val="a3"/>
    <w:qFormat/>
    <w:rsid w:val="008E4CEA"/>
    <w:pPr>
      <w:spacing w:line="240" w:lineRule="auto"/>
      <w:ind w:left="-567" w:firstLine="0"/>
    </w:pPr>
    <w:rPr>
      <w:sz w:val="20"/>
    </w:rPr>
  </w:style>
  <w:style w:type="paragraph" w:customStyle="1" w:styleId="aff9">
    <w:name w:val="НФАОбращение"/>
    <w:basedOn w:val="a3"/>
    <w:qFormat/>
    <w:rsid w:val="008E4CEA"/>
    <w:pPr>
      <w:ind w:firstLine="0"/>
      <w:jc w:val="center"/>
    </w:pPr>
  </w:style>
  <w:style w:type="paragraph" w:customStyle="1" w:styleId="affa">
    <w:name w:val="НФАПодпись"/>
    <w:basedOn w:val="a3"/>
    <w:qFormat/>
    <w:rsid w:val="008E4CEA"/>
    <w:pPr>
      <w:ind w:firstLine="0"/>
    </w:pPr>
  </w:style>
  <w:style w:type="paragraph" w:styleId="36">
    <w:name w:val="toc 3"/>
    <w:basedOn w:val="a3"/>
    <w:next w:val="a3"/>
    <w:autoRedefine/>
    <w:uiPriority w:val="39"/>
    <w:unhideWhenUsed/>
    <w:locked/>
    <w:rsid w:val="008E4CEA"/>
    <w:pPr>
      <w:spacing w:after="100"/>
      <w:ind w:left="480"/>
    </w:pPr>
  </w:style>
  <w:style w:type="paragraph" w:styleId="affb">
    <w:name w:val="Body Text Indent"/>
    <w:basedOn w:val="a3"/>
    <w:link w:val="affc"/>
    <w:uiPriority w:val="99"/>
    <w:semiHidden/>
    <w:unhideWhenUsed/>
    <w:locked/>
    <w:rsid w:val="00184C87"/>
    <w:pPr>
      <w:spacing w:after="120"/>
      <w:ind w:left="283"/>
    </w:pPr>
  </w:style>
  <w:style w:type="character" w:customStyle="1" w:styleId="affc">
    <w:name w:val="Основной текст с отступом Знак"/>
    <w:link w:val="affb"/>
    <w:uiPriority w:val="99"/>
    <w:semiHidden/>
    <w:rsid w:val="00184C8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1c">
    <w:name w:val="Абзац списка1"/>
    <w:aliases w:val="Абзац маркированнный,Шаг процесса,1,UL,Предусловия,Table-Normal,RSHB_Table-Normal,Список нумерованный цифры,Нумерованный список_ФТ,DBN: Обычный. Перечень. Уровень 1,Мой стиль!,Абзац списка◄"/>
    <w:basedOn w:val="a3"/>
    <w:link w:val="ListParagraphChar"/>
    <w:rsid w:val="006A49E6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aliases w:val="Абзац маркированнный Char,Шаг процесса Char,1 Char,UL Char,Предусловия Char,Table-Normal Char,RSHB_Table-Normal Char,Список нумерованный цифры Char,Нумерованный список_ФТ Char,DBN: Обычный. Перечень. Уровень 1 Char,Мой стиль! Char"/>
    <w:link w:val="1c"/>
    <w:locked/>
    <w:rsid w:val="006A49E6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613-8088-4E7B-B541-B9D7DFDB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VOROPAEVAE</dc:creator>
  <cp:lastModifiedBy>Alex Zhinkin</cp:lastModifiedBy>
  <cp:revision>20</cp:revision>
  <cp:lastPrinted>2019-09-20T07:33:00Z</cp:lastPrinted>
  <dcterms:created xsi:type="dcterms:W3CDTF">2019-09-23T08:13:00Z</dcterms:created>
  <dcterms:modified xsi:type="dcterms:W3CDTF">2023-08-08T13:02:00Z</dcterms:modified>
</cp:coreProperties>
</file>